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90" w:rsidRDefault="00CB79B7" w:rsidP="00CB79B7">
      <w:pPr>
        <w:ind w:left="3861" w:firstLine="459"/>
        <w:rPr>
          <w:lang w:val="ro-RO"/>
        </w:rPr>
      </w:pPr>
      <w:bookmarkStart w:id="0" w:name="_GoBack"/>
      <w:bookmarkEnd w:id="0"/>
      <w:r>
        <w:rPr>
          <w:lang w:val="ro-RO"/>
        </w:rPr>
        <w:t xml:space="preserve">                             </w:t>
      </w:r>
    </w:p>
    <w:p w:rsidR="00EB529B" w:rsidRDefault="00EB529B" w:rsidP="00254E1F">
      <w:pPr>
        <w:tabs>
          <w:tab w:val="left" w:pos="1755"/>
          <w:tab w:val="left" w:pos="3090"/>
          <w:tab w:val="center" w:pos="4536"/>
        </w:tabs>
        <w:spacing w:after="0" w:line="240" w:lineRule="auto"/>
        <w:ind w:left="0"/>
        <w:jc w:val="center"/>
        <w:rPr>
          <w:rFonts w:eastAsia="Times New Roman"/>
          <w:b/>
          <w:sz w:val="24"/>
          <w:szCs w:val="24"/>
          <w:lang w:val="ro-RO" w:eastAsia="ro-RO"/>
        </w:rPr>
      </w:pPr>
    </w:p>
    <w:p w:rsidR="003F7AAC" w:rsidRPr="00C90124" w:rsidRDefault="003F7AAC" w:rsidP="003F7AAC">
      <w:pPr>
        <w:spacing w:line="360" w:lineRule="auto"/>
        <w:ind w:firstLine="360"/>
        <w:jc w:val="center"/>
        <w:rPr>
          <w:rFonts w:cs="Arial"/>
          <w:b/>
          <w:sz w:val="24"/>
          <w:szCs w:val="24"/>
        </w:rPr>
      </w:pPr>
      <w:r w:rsidRPr="00C90124">
        <w:rPr>
          <w:rFonts w:cs="Arial"/>
          <w:b/>
          <w:sz w:val="24"/>
          <w:szCs w:val="24"/>
        </w:rPr>
        <w:t>Raport de activitate al Agenției Județene pentru Ocuparea Forței de Muncă Argeș, pentru anul 202</w:t>
      </w:r>
      <w:r>
        <w:rPr>
          <w:rFonts w:cs="Arial"/>
          <w:b/>
          <w:sz w:val="24"/>
          <w:szCs w:val="24"/>
        </w:rPr>
        <w:t>2</w:t>
      </w:r>
    </w:p>
    <w:p w:rsidR="003F7AAC" w:rsidRDefault="003F7AAC" w:rsidP="003F7AAC">
      <w:pPr>
        <w:spacing w:line="360" w:lineRule="auto"/>
        <w:ind w:left="0"/>
        <w:rPr>
          <w:rFonts w:cs="Arial"/>
          <w:b/>
          <w:sz w:val="28"/>
          <w:szCs w:val="28"/>
        </w:rPr>
      </w:pPr>
    </w:p>
    <w:p w:rsidR="009901A1" w:rsidRDefault="009901A1" w:rsidP="003F7AAC">
      <w:pPr>
        <w:spacing w:line="360" w:lineRule="auto"/>
        <w:ind w:left="0" w:firstLine="720"/>
        <w:rPr>
          <w:rFonts w:cs="Arial"/>
          <w:b/>
          <w:sz w:val="24"/>
          <w:szCs w:val="24"/>
          <w:u w:val="single"/>
        </w:rPr>
      </w:pPr>
    </w:p>
    <w:p w:rsidR="003F7AAC" w:rsidRPr="009901A1" w:rsidRDefault="003F7AAC" w:rsidP="003F7AAC">
      <w:pPr>
        <w:spacing w:line="360" w:lineRule="auto"/>
        <w:ind w:left="0" w:firstLine="720"/>
        <w:rPr>
          <w:rFonts w:cs="Arial"/>
          <w:b/>
          <w:sz w:val="24"/>
          <w:szCs w:val="24"/>
          <w:u w:val="single"/>
        </w:rPr>
      </w:pPr>
      <w:r w:rsidRPr="009901A1">
        <w:rPr>
          <w:rFonts w:cs="Arial"/>
          <w:b/>
          <w:sz w:val="24"/>
          <w:szCs w:val="24"/>
          <w:u w:val="single"/>
        </w:rPr>
        <w:t xml:space="preserve">Prezentarea șomajului înregistrat </w:t>
      </w:r>
    </w:p>
    <w:p w:rsidR="000E54D6" w:rsidRDefault="000E54D6" w:rsidP="00254E1F">
      <w:pPr>
        <w:tabs>
          <w:tab w:val="left" w:pos="1755"/>
          <w:tab w:val="left" w:pos="3090"/>
          <w:tab w:val="center" w:pos="4536"/>
        </w:tabs>
        <w:spacing w:after="0" w:line="240" w:lineRule="auto"/>
        <w:ind w:left="0"/>
        <w:jc w:val="center"/>
        <w:rPr>
          <w:rFonts w:eastAsia="Times New Roman"/>
          <w:b/>
          <w:i/>
          <w:sz w:val="24"/>
          <w:szCs w:val="24"/>
          <w:lang w:val="ro-RO" w:eastAsia="ro-RO"/>
        </w:rPr>
      </w:pPr>
    </w:p>
    <w:p w:rsidR="00254E1F" w:rsidRPr="002349E4" w:rsidRDefault="00254E1F" w:rsidP="009901A1">
      <w:pPr>
        <w:spacing w:after="0" w:line="360" w:lineRule="auto"/>
        <w:ind w:left="720" w:firstLine="720"/>
        <w:rPr>
          <w:rFonts w:eastAsia="Times New Roman" w:cs="Arial"/>
          <w:sz w:val="24"/>
          <w:szCs w:val="24"/>
          <w:lang w:val="ro-RO" w:eastAsia="ro-RO"/>
        </w:rPr>
      </w:pPr>
      <w:r w:rsidRPr="00254E1F">
        <w:rPr>
          <w:rFonts w:ascii="Arial" w:eastAsia="Times New Roman" w:hAnsi="Arial" w:cs="Arial"/>
          <w:sz w:val="24"/>
          <w:szCs w:val="24"/>
          <w:lang w:val="ro-RO" w:eastAsia="ro-RO"/>
        </w:rPr>
        <w:t>L</w:t>
      </w:r>
      <w:r w:rsidRPr="00254E1F">
        <w:rPr>
          <w:rFonts w:eastAsia="Times New Roman" w:cs="Arial"/>
          <w:sz w:val="24"/>
          <w:szCs w:val="24"/>
          <w:lang w:val="ro-RO" w:eastAsia="ro-RO"/>
        </w:rPr>
        <w:t>a nivelul județului Argeș</w:t>
      </w:r>
      <w:r w:rsidR="00784C84">
        <w:rPr>
          <w:rFonts w:eastAsia="Times New Roman" w:cs="Arial"/>
          <w:sz w:val="24"/>
          <w:szCs w:val="24"/>
          <w:lang w:val="ro-RO" w:eastAsia="ro-RO"/>
        </w:rPr>
        <w:t>,</w:t>
      </w:r>
      <w:r w:rsidRPr="00254E1F">
        <w:rPr>
          <w:rFonts w:ascii="Arial" w:eastAsia="Times New Roman" w:hAnsi="Arial" w:cs="Arial"/>
          <w:sz w:val="24"/>
          <w:szCs w:val="24"/>
          <w:lang w:val="ro-RO" w:eastAsia="ro-RO"/>
        </w:rPr>
        <w:t xml:space="preserve"> ș</w:t>
      </w:r>
      <w:r w:rsidRPr="00254E1F">
        <w:rPr>
          <w:rFonts w:eastAsia="Times New Roman" w:cs="Arial"/>
          <w:sz w:val="24"/>
          <w:szCs w:val="24"/>
          <w:lang w:val="ro-RO" w:eastAsia="ro-RO"/>
        </w:rPr>
        <w:t>omajul</w:t>
      </w:r>
      <w:r w:rsidR="00784C84">
        <w:rPr>
          <w:rFonts w:eastAsia="Times New Roman" w:cs="Arial"/>
          <w:sz w:val="24"/>
          <w:szCs w:val="24"/>
          <w:lang w:val="ro-RO" w:eastAsia="ro-RO"/>
        </w:rPr>
        <w:t xml:space="preserve"> </w:t>
      </w:r>
      <w:r w:rsidR="003C0CEE">
        <w:rPr>
          <w:rFonts w:eastAsia="Times New Roman" w:cs="Arial"/>
          <w:sz w:val="24"/>
          <w:szCs w:val="24"/>
          <w:lang w:val="ro-RO" w:eastAsia="ro-RO"/>
        </w:rPr>
        <w:t>î</w:t>
      </w:r>
      <w:r w:rsidR="00784C84">
        <w:rPr>
          <w:rFonts w:eastAsia="Times New Roman" w:cs="Arial"/>
          <w:sz w:val="24"/>
          <w:szCs w:val="24"/>
          <w:lang w:val="ro-RO" w:eastAsia="ro-RO"/>
        </w:rPr>
        <w:t>nregistrat</w:t>
      </w:r>
      <w:r w:rsidRPr="00254E1F">
        <w:rPr>
          <w:rFonts w:eastAsia="Times New Roman" w:cs="Arial"/>
          <w:sz w:val="24"/>
          <w:szCs w:val="24"/>
          <w:lang w:val="ro-RO" w:eastAsia="ro-RO"/>
        </w:rPr>
        <w:t xml:space="preserve"> </w:t>
      </w:r>
      <w:r w:rsidR="003F7AAC">
        <w:rPr>
          <w:rFonts w:eastAsia="Times New Roman" w:cs="Arial"/>
          <w:sz w:val="24"/>
          <w:szCs w:val="24"/>
          <w:lang w:val="ro-RO" w:eastAsia="ro-RO"/>
        </w:rPr>
        <w:t xml:space="preserve">în anul 2022 </w:t>
      </w:r>
      <w:r w:rsidRPr="00254E1F">
        <w:rPr>
          <w:rFonts w:eastAsia="Times New Roman" w:cs="Arial"/>
          <w:sz w:val="24"/>
          <w:szCs w:val="24"/>
          <w:lang w:val="ro-RO" w:eastAsia="ro-RO"/>
        </w:rPr>
        <w:t xml:space="preserve">a </w:t>
      </w:r>
      <w:r w:rsidR="00E30BCD">
        <w:rPr>
          <w:rFonts w:eastAsia="Times New Roman" w:cs="Arial"/>
          <w:sz w:val="24"/>
          <w:szCs w:val="24"/>
          <w:lang w:val="ro-RO" w:eastAsia="ro-RO"/>
        </w:rPr>
        <w:t xml:space="preserve"> </w:t>
      </w:r>
      <w:r w:rsidR="00A7552E">
        <w:rPr>
          <w:rFonts w:eastAsia="Times New Roman" w:cs="Arial"/>
          <w:sz w:val="24"/>
          <w:szCs w:val="24"/>
          <w:lang w:val="ro-RO" w:eastAsia="ro-RO"/>
        </w:rPr>
        <w:t xml:space="preserve">continuat trendul descendent </w:t>
      </w:r>
      <w:r w:rsidR="000E54D6">
        <w:rPr>
          <w:rFonts w:eastAsia="Times New Roman" w:cs="Arial"/>
          <w:sz w:val="24"/>
          <w:szCs w:val="24"/>
          <w:lang w:val="ro-RO" w:eastAsia="ro-RO"/>
        </w:rPr>
        <w:t xml:space="preserve">început </w:t>
      </w:r>
      <w:r w:rsidR="00A7552E">
        <w:rPr>
          <w:rFonts w:eastAsia="Times New Roman" w:cs="Arial"/>
          <w:sz w:val="24"/>
          <w:szCs w:val="24"/>
          <w:lang w:val="ro-RO" w:eastAsia="ro-RO"/>
        </w:rPr>
        <w:t>d</w:t>
      </w:r>
      <w:r w:rsidR="00220D78">
        <w:rPr>
          <w:rFonts w:eastAsia="Times New Roman" w:cs="Arial"/>
          <w:sz w:val="24"/>
          <w:szCs w:val="24"/>
          <w:lang w:val="ro-RO" w:eastAsia="ro-RO"/>
        </w:rPr>
        <w:t>in</w:t>
      </w:r>
      <w:r w:rsidR="00A7552E">
        <w:rPr>
          <w:rFonts w:eastAsia="Times New Roman" w:cs="Arial"/>
          <w:sz w:val="24"/>
          <w:szCs w:val="24"/>
          <w:lang w:val="ro-RO" w:eastAsia="ro-RO"/>
        </w:rPr>
        <w:t xml:space="preserve"> anul precedent</w:t>
      </w:r>
      <w:r w:rsidRPr="00254E1F">
        <w:rPr>
          <w:rFonts w:eastAsia="Times New Roman" w:cs="Arial"/>
          <w:sz w:val="24"/>
          <w:szCs w:val="24"/>
          <w:lang w:val="ro-RO" w:eastAsia="ro-RO"/>
        </w:rPr>
        <w:t>,</w:t>
      </w:r>
      <w:r w:rsidR="00E30BCD">
        <w:rPr>
          <w:rFonts w:eastAsia="Times New Roman" w:cs="Arial"/>
          <w:sz w:val="24"/>
          <w:szCs w:val="24"/>
          <w:lang w:val="ro-RO" w:eastAsia="ro-RO"/>
        </w:rPr>
        <w:t xml:space="preserve"> cu </w:t>
      </w:r>
      <w:r w:rsidR="00784C84">
        <w:rPr>
          <w:rFonts w:eastAsia="Times New Roman" w:cs="Arial"/>
          <w:sz w:val="24"/>
          <w:szCs w:val="24"/>
          <w:lang w:val="ro-RO" w:eastAsia="ro-RO"/>
        </w:rPr>
        <w:t>sc</w:t>
      </w:r>
      <w:r w:rsidR="003C0CEE">
        <w:rPr>
          <w:rFonts w:eastAsia="Times New Roman" w:cs="Arial"/>
          <w:sz w:val="24"/>
          <w:szCs w:val="24"/>
          <w:lang w:val="ro-RO" w:eastAsia="ro-RO"/>
        </w:rPr>
        <w:t>ă</w:t>
      </w:r>
      <w:r w:rsidR="00784C84">
        <w:rPr>
          <w:rFonts w:eastAsia="Times New Roman" w:cs="Arial"/>
          <w:sz w:val="24"/>
          <w:szCs w:val="24"/>
          <w:lang w:val="ro-RO" w:eastAsia="ro-RO"/>
        </w:rPr>
        <w:t>deri</w:t>
      </w:r>
      <w:r w:rsidR="00E30BCD">
        <w:rPr>
          <w:rFonts w:eastAsia="Times New Roman" w:cs="Arial"/>
          <w:sz w:val="24"/>
          <w:szCs w:val="24"/>
          <w:lang w:val="ro-RO" w:eastAsia="ro-RO"/>
        </w:rPr>
        <w:t xml:space="preserve"> semnificative în rândul persoanelor beneficiare de indemnizație de șomaj</w:t>
      </w:r>
      <w:r w:rsidR="00A7552E">
        <w:rPr>
          <w:rFonts w:eastAsia="Times New Roman" w:cs="Arial"/>
          <w:sz w:val="24"/>
          <w:szCs w:val="24"/>
          <w:lang w:val="ro-RO" w:eastAsia="ro-RO"/>
        </w:rPr>
        <w:t xml:space="preserve"> dar</w:t>
      </w:r>
      <w:r w:rsidR="00E30BCD">
        <w:rPr>
          <w:rFonts w:eastAsia="Times New Roman" w:cs="Arial"/>
          <w:sz w:val="24"/>
          <w:szCs w:val="24"/>
          <w:lang w:val="ro-RO" w:eastAsia="ro-RO"/>
        </w:rPr>
        <w:t xml:space="preserve"> și cu</w:t>
      </w:r>
      <w:r w:rsidRPr="00254E1F">
        <w:rPr>
          <w:rFonts w:eastAsia="Times New Roman" w:cs="Arial"/>
          <w:sz w:val="24"/>
          <w:szCs w:val="24"/>
          <w:lang w:val="ro-RO" w:eastAsia="ro-RO"/>
        </w:rPr>
        <w:t xml:space="preserve"> </w:t>
      </w:r>
      <w:r w:rsidR="00784C84">
        <w:rPr>
          <w:rFonts w:eastAsia="Times New Roman" w:cs="Arial"/>
          <w:sz w:val="24"/>
          <w:szCs w:val="24"/>
          <w:lang w:val="ro-RO" w:eastAsia="ro-RO"/>
        </w:rPr>
        <w:t>o u</w:t>
      </w:r>
      <w:r w:rsidR="003C0CEE">
        <w:rPr>
          <w:rFonts w:eastAsia="Times New Roman" w:cs="Arial"/>
          <w:sz w:val="24"/>
          <w:szCs w:val="24"/>
          <w:lang w:val="ro-RO" w:eastAsia="ro-RO"/>
        </w:rPr>
        <w:t>ș</w:t>
      </w:r>
      <w:r w:rsidR="00784C84">
        <w:rPr>
          <w:rFonts w:eastAsia="Times New Roman" w:cs="Arial"/>
          <w:sz w:val="24"/>
          <w:szCs w:val="24"/>
          <w:lang w:val="ro-RO" w:eastAsia="ro-RO"/>
        </w:rPr>
        <w:t>oar</w:t>
      </w:r>
      <w:r w:rsidR="003C0CEE">
        <w:rPr>
          <w:rFonts w:eastAsia="Times New Roman" w:cs="Arial"/>
          <w:sz w:val="24"/>
          <w:szCs w:val="24"/>
          <w:lang w:val="ro-RO" w:eastAsia="ro-RO"/>
        </w:rPr>
        <w:t>ă</w:t>
      </w:r>
      <w:r w:rsidR="00784C84">
        <w:rPr>
          <w:rFonts w:eastAsia="Times New Roman" w:cs="Arial"/>
          <w:sz w:val="24"/>
          <w:szCs w:val="24"/>
          <w:lang w:val="ro-RO" w:eastAsia="ro-RO"/>
        </w:rPr>
        <w:t xml:space="preserve"> cre</w:t>
      </w:r>
      <w:r w:rsidR="003C0CEE">
        <w:rPr>
          <w:rFonts w:eastAsia="Times New Roman" w:cs="Arial"/>
          <w:sz w:val="24"/>
          <w:szCs w:val="24"/>
          <w:lang w:val="ro-RO" w:eastAsia="ro-RO"/>
        </w:rPr>
        <w:t>ș</w:t>
      </w:r>
      <w:r w:rsidR="00784C84">
        <w:rPr>
          <w:rFonts w:eastAsia="Times New Roman" w:cs="Arial"/>
          <w:sz w:val="24"/>
          <w:szCs w:val="24"/>
          <w:lang w:val="ro-RO" w:eastAsia="ro-RO"/>
        </w:rPr>
        <w:t xml:space="preserve">tere la categoria </w:t>
      </w:r>
      <w:r w:rsidR="003C0CEE">
        <w:rPr>
          <w:rFonts w:eastAsia="Times New Roman" w:cs="Arial"/>
          <w:sz w:val="24"/>
          <w:szCs w:val="24"/>
          <w:lang w:val="ro-RO" w:eastAsia="ro-RO"/>
        </w:rPr>
        <w:t>ș</w:t>
      </w:r>
      <w:r w:rsidR="00784C84">
        <w:rPr>
          <w:rFonts w:eastAsia="Times New Roman" w:cs="Arial"/>
          <w:sz w:val="24"/>
          <w:szCs w:val="24"/>
          <w:lang w:val="ro-RO" w:eastAsia="ro-RO"/>
        </w:rPr>
        <w:t>omerilor neindemniza</w:t>
      </w:r>
      <w:r w:rsidR="003C0CEE">
        <w:rPr>
          <w:rFonts w:eastAsia="Times New Roman" w:cs="Arial"/>
          <w:sz w:val="24"/>
          <w:szCs w:val="24"/>
          <w:lang w:val="ro-RO" w:eastAsia="ro-RO"/>
        </w:rPr>
        <w:t>ț</w:t>
      </w:r>
      <w:r w:rsidR="00A7552E">
        <w:rPr>
          <w:rFonts w:eastAsia="Times New Roman" w:cs="Arial"/>
          <w:sz w:val="24"/>
          <w:szCs w:val="24"/>
          <w:lang w:val="ro-RO" w:eastAsia="ro-RO"/>
        </w:rPr>
        <w:t>i, cre</w:t>
      </w:r>
      <w:r w:rsidR="007050A2">
        <w:rPr>
          <w:rFonts w:eastAsia="Times New Roman" w:cs="Arial"/>
          <w:sz w:val="24"/>
          <w:szCs w:val="24"/>
          <w:lang w:val="ro-RO" w:eastAsia="ro-RO"/>
        </w:rPr>
        <w:t>ș</w:t>
      </w:r>
      <w:r w:rsidR="00A7552E">
        <w:rPr>
          <w:rFonts w:eastAsia="Times New Roman" w:cs="Arial"/>
          <w:sz w:val="24"/>
          <w:szCs w:val="24"/>
          <w:lang w:val="ro-RO" w:eastAsia="ro-RO"/>
        </w:rPr>
        <w:t>tere ce a fost</w:t>
      </w:r>
      <w:r w:rsidRPr="00254E1F">
        <w:rPr>
          <w:rFonts w:eastAsia="Times New Roman" w:cs="Arial"/>
          <w:sz w:val="24"/>
          <w:szCs w:val="24"/>
          <w:lang w:val="ro-RO" w:eastAsia="ro-RO"/>
        </w:rPr>
        <w:t xml:space="preserve"> influențată </w:t>
      </w:r>
      <w:r w:rsidR="007050A2">
        <w:rPr>
          <w:rFonts w:eastAsia="Times New Roman" w:cs="Arial"/>
          <w:sz w:val="24"/>
          <w:szCs w:val="24"/>
          <w:lang w:val="ro-RO" w:eastAsia="ro-RO"/>
        </w:rPr>
        <w:t>ș</w:t>
      </w:r>
      <w:r w:rsidR="00186975">
        <w:rPr>
          <w:rFonts w:eastAsia="Times New Roman" w:cs="Arial"/>
          <w:sz w:val="24"/>
          <w:szCs w:val="24"/>
          <w:lang w:val="ro-RO" w:eastAsia="ro-RO"/>
        </w:rPr>
        <w:t xml:space="preserve">i </w:t>
      </w:r>
      <w:r w:rsidRPr="00254E1F">
        <w:rPr>
          <w:rFonts w:eastAsia="Times New Roman" w:cs="Arial"/>
          <w:sz w:val="24"/>
          <w:szCs w:val="24"/>
          <w:lang w:val="ro-RO" w:eastAsia="ro-RO"/>
        </w:rPr>
        <w:t xml:space="preserve">de înregistrarea </w:t>
      </w:r>
      <w:r w:rsidR="007050A2">
        <w:rPr>
          <w:rFonts w:eastAsia="Times New Roman" w:cs="Arial"/>
          <w:sz w:val="24"/>
          <w:szCs w:val="24"/>
          <w:lang w:val="ro-RO" w:eastAsia="ro-RO"/>
        </w:rPr>
        <w:t xml:space="preserve">de noi </w:t>
      </w:r>
      <w:r w:rsidR="00A7552E">
        <w:rPr>
          <w:rFonts w:eastAsia="Times New Roman" w:cs="Arial"/>
          <w:sz w:val="24"/>
          <w:szCs w:val="24"/>
          <w:lang w:val="ro-RO" w:eastAsia="ro-RO"/>
        </w:rPr>
        <w:t>tineri NEET’s</w:t>
      </w:r>
      <w:r w:rsidR="00160672">
        <w:rPr>
          <w:rFonts w:eastAsia="Times New Roman" w:cs="Arial"/>
          <w:sz w:val="24"/>
          <w:szCs w:val="24"/>
          <w:lang w:val="ro-RO" w:eastAsia="ro-RO"/>
        </w:rPr>
        <w:t xml:space="preserve"> care au avut</w:t>
      </w:r>
      <w:r w:rsidR="00186975">
        <w:rPr>
          <w:rFonts w:eastAsia="Times New Roman" w:cs="Arial"/>
          <w:sz w:val="24"/>
          <w:szCs w:val="24"/>
          <w:lang w:val="ro-RO" w:eastAsia="ro-RO"/>
        </w:rPr>
        <w:t xml:space="preserve"> astfel acces la m</w:t>
      </w:r>
      <w:r w:rsidR="007050A2">
        <w:rPr>
          <w:rFonts w:eastAsia="Times New Roman" w:cs="Arial"/>
          <w:sz w:val="24"/>
          <w:szCs w:val="24"/>
          <w:lang w:val="ro-RO" w:eastAsia="ro-RO"/>
        </w:rPr>
        <w:t>ăsurile în domeniul formă</w:t>
      </w:r>
      <w:r w:rsidR="00186975">
        <w:rPr>
          <w:rFonts w:eastAsia="Times New Roman" w:cs="Arial"/>
          <w:sz w:val="24"/>
          <w:szCs w:val="24"/>
          <w:lang w:val="ro-RO" w:eastAsia="ro-RO"/>
        </w:rPr>
        <w:t xml:space="preserve">rii profesionale </w:t>
      </w:r>
      <w:r w:rsidR="007050A2">
        <w:rPr>
          <w:rFonts w:eastAsia="Times New Roman" w:cs="Arial"/>
          <w:sz w:val="24"/>
          <w:szCs w:val="24"/>
          <w:lang w:val="ro-RO" w:eastAsia="ro-RO"/>
        </w:rPr>
        <w:t>ș</w:t>
      </w:r>
      <w:r w:rsidR="00186975">
        <w:rPr>
          <w:rFonts w:eastAsia="Times New Roman" w:cs="Arial"/>
          <w:sz w:val="24"/>
          <w:szCs w:val="24"/>
          <w:lang w:val="ro-RO" w:eastAsia="ro-RO"/>
        </w:rPr>
        <w:t>i a ocup</w:t>
      </w:r>
      <w:r w:rsidR="007050A2">
        <w:rPr>
          <w:rFonts w:eastAsia="Times New Roman" w:cs="Arial"/>
          <w:sz w:val="24"/>
          <w:szCs w:val="24"/>
          <w:lang w:val="ro-RO" w:eastAsia="ro-RO"/>
        </w:rPr>
        <w:t>ă</w:t>
      </w:r>
      <w:r w:rsidR="00186975">
        <w:rPr>
          <w:rFonts w:eastAsia="Times New Roman" w:cs="Arial"/>
          <w:sz w:val="24"/>
          <w:szCs w:val="24"/>
          <w:lang w:val="ro-RO" w:eastAsia="ro-RO"/>
        </w:rPr>
        <w:t>rii for</w:t>
      </w:r>
      <w:r w:rsidR="007050A2">
        <w:rPr>
          <w:rFonts w:eastAsia="Times New Roman" w:cs="Arial"/>
          <w:sz w:val="24"/>
          <w:szCs w:val="24"/>
          <w:lang w:val="ro-RO" w:eastAsia="ro-RO"/>
        </w:rPr>
        <w:t>ț</w:t>
      </w:r>
      <w:r w:rsidR="00186975">
        <w:rPr>
          <w:rFonts w:eastAsia="Times New Roman" w:cs="Arial"/>
          <w:sz w:val="24"/>
          <w:szCs w:val="24"/>
          <w:lang w:val="ro-RO" w:eastAsia="ro-RO"/>
        </w:rPr>
        <w:t>ei de munc</w:t>
      </w:r>
      <w:r w:rsidR="007050A2">
        <w:rPr>
          <w:rFonts w:eastAsia="Times New Roman" w:cs="Arial"/>
          <w:sz w:val="24"/>
          <w:szCs w:val="24"/>
          <w:lang w:val="ro-RO" w:eastAsia="ro-RO"/>
        </w:rPr>
        <w:t>ă</w:t>
      </w:r>
      <w:r w:rsidR="00186975">
        <w:rPr>
          <w:rFonts w:eastAsia="Times New Roman" w:cs="Arial"/>
          <w:sz w:val="24"/>
          <w:szCs w:val="24"/>
          <w:lang w:val="ro-RO" w:eastAsia="ro-RO"/>
        </w:rPr>
        <w:t xml:space="preserve"> oferite de</w:t>
      </w:r>
      <w:r w:rsidR="007050A2">
        <w:rPr>
          <w:rFonts w:eastAsia="Times New Roman" w:cs="Arial"/>
          <w:sz w:val="24"/>
          <w:szCs w:val="24"/>
          <w:lang w:val="ro-RO" w:eastAsia="ro-RO"/>
        </w:rPr>
        <w:t xml:space="preserve"> beneficiarii proiectelor finanțate din FSE cu care agenț</w:t>
      </w:r>
      <w:r w:rsidR="00186975">
        <w:rPr>
          <w:rFonts w:eastAsia="Times New Roman" w:cs="Arial"/>
          <w:sz w:val="24"/>
          <w:szCs w:val="24"/>
          <w:lang w:val="ro-RO" w:eastAsia="ro-RO"/>
        </w:rPr>
        <w:t xml:space="preserve">ia a </w:t>
      </w:r>
      <w:r w:rsidR="007050A2">
        <w:rPr>
          <w:rFonts w:eastAsia="Times New Roman" w:cs="Arial"/>
          <w:sz w:val="24"/>
          <w:szCs w:val="24"/>
          <w:lang w:val="ro-RO" w:eastAsia="ro-RO"/>
        </w:rPr>
        <w:t>î</w:t>
      </w:r>
      <w:r w:rsidR="00186975">
        <w:rPr>
          <w:rFonts w:eastAsia="Times New Roman" w:cs="Arial"/>
          <w:sz w:val="24"/>
          <w:szCs w:val="24"/>
          <w:lang w:val="ro-RO" w:eastAsia="ro-RO"/>
        </w:rPr>
        <w:t>ncheiat protocoale de colaborare</w:t>
      </w:r>
      <w:r w:rsidRPr="00254E1F">
        <w:rPr>
          <w:rFonts w:eastAsia="Times New Roman" w:cs="Arial"/>
          <w:sz w:val="24"/>
          <w:szCs w:val="24"/>
          <w:lang w:val="ro-RO" w:eastAsia="ro-RO"/>
        </w:rPr>
        <w:t xml:space="preserve">. </w:t>
      </w:r>
      <w:r w:rsidR="002349E4">
        <w:rPr>
          <w:rFonts w:eastAsia="Times New Roman" w:cs="Arial"/>
          <w:sz w:val="24"/>
          <w:szCs w:val="24"/>
          <w:lang w:val="ro-RO" w:eastAsia="ro-RO"/>
        </w:rPr>
        <w:t>Ș</w:t>
      </w:r>
      <w:r w:rsidR="002349E4" w:rsidRPr="002349E4">
        <w:rPr>
          <w:rFonts w:cs="Arial"/>
          <w:sz w:val="24"/>
          <w:szCs w:val="24"/>
        </w:rPr>
        <w:t>omerii neindemnizaţi reprezintă aproximativ 78% din totalul şomerilor înregistraţi</w:t>
      </w:r>
      <w:r w:rsidR="002349E4">
        <w:rPr>
          <w:rFonts w:cs="Arial"/>
          <w:sz w:val="24"/>
          <w:szCs w:val="24"/>
        </w:rPr>
        <w:t>,</w:t>
      </w:r>
      <w:r w:rsidR="002349E4" w:rsidRPr="002349E4">
        <w:rPr>
          <w:rFonts w:cs="Arial"/>
          <w:sz w:val="24"/>
          <w:szCs w:val="24"/>
        </w:rPr>
        <w:t xml:space="preserve"> unde cea mai mare parte este formată din beneficiarii de venit minim garantat , categorie foarte greu și greu ocupabilă</w:t>
      </w:r>
      <w:r w:rsidR="002349E4">
        <w:rPr>
          <w:rFonts w:cs="Arial"/>
          <w:sz w:val="24"/>
          <w:szCs w:val="24"/>
        </w:rPr>
        <w:t>.</w:t>
      </w:r>
    </w:p>
    <w:p w:rsidR="00254E1F" w:rsidRDefault="00254E1F" w:rsidP="009901A1">
      <w:pPr>
        <w:spacing w:after="0" w:line="360" w:lineRule="auto"/>
        <w:ind w:left="720" w:firstLine="720"/>
        <w:jc w:val="left"/>
        <w:rPr>
          <w:rFonts w:ascii="Times New Roman" w:eastAsia="Times New Roman" w:hAnsi="Times New Roman" w:cs="Arial"/>
          <w:color w:val="000000"/>
          <w:sz w:val="24"/>
          <w:szCs w:val="24"/>
          <w:lang w:val="ro-RO" w:eastAsia="ro-RO"/>
        </w:rPr>
      </w:pPr>
      <w:r w:rsidRPr="00254E1F">
        <w:rPr>
          <w:rFonts w:eastAsia="Times New Roman" w:cs="Arial"/>
          <w:sz w:val="24"/>
          <w:szCs w:val="24"/>
          <w:lang w:val="ro-RO" w:eastAsia="ro-RO"/>
        </w:rPr>
        <w:t>Situația persoanelor aflate în evidența Agenției Județene pentru Ocuparea Forței de Muncă  Argeș în perioada ianuarie-</w:t>
      </w:r>
      <w:r w:rsidR="00D72CD4">
        <w:rPr>
          <w:rFonts w:eastAsia="Times New Roman" w:cs="Arial"/>
          <w:sz w:val="24"/>
          <w:szCs w:val="24"/>
          <w:lang w:val="ro-RO" w:eastAsia="ro-RO"/>
        </w:rPr>
        <w:t>dece</w:t>
      </w:r>
      <w:r w:rsidRPr="00254E1F">
        <w:rPr>
          <w:rFonts w:eastAsia="Times New Roman" w:cs="Arial"/>
          <w:sz w:val="24"/>
          <w:szCs w:val="24"/>
          <w:lang w:val="ro-RO" w:eastAsia="ro-RO"/>
        </w:rPr>
        <w:t>mbrie 20</w:t>
      </w:r>
      <w:r w:rsidR="002F3C67">
        <w:rPr>
          <w:rFonts w:eastAsia="Times New Roman" w:cs="Arial"/>
          <w:sz w:val="24"/>
          <w:szCs w:val="24"/>
          <w:lang w:val="ro-RO" w:eastAsia="ro-RO"/>
        </w:rPr>
        <w:t>2</w:t>
      </w:r>
      <w:r w:rsidR="00932D24">
        <w:rPr>
          <w:rFonts w:eastAsia="Times New Roman" w:cs="Arial"/>
          <w:sz w:val="24"/>
          <w:szCs w:val="24"/>
          <w:lang w:val="ro-RO" w:eastAsia="ro-RO"/>
        </w:rPr>
        <w:t>2</w:t>
      </w:r>
      <w:r w:rsidRPr="00254E1F">
        <w:rPr>
          <w:rFonts w:eastAsia="Times New Roman" w:cs="Arial"/>
          <w:sz w:val="24"/>
          <w:szCs w:val="24"/>
          <w:lang w:val="ro-RO" w:eastAsia="ro-RO"/>
        </w:rPr>
        <w:t xml:space="preserve"> </w:t>
      </w:r>
      <w:r w:rsidRPr="00254E1F">
        <w:rPr>
          <w:rFonts w:ascii="Times New Roman" w:eastAsia="Times New Roman" w:hAnsi="Times New Roman" w:cs="Arial"/>
          <w:color w:val="000000"/>
          <w:sz w:val="24"/>
          <w:szCs w:val="24"/>
          <w:lang w:val="ro-RO" w:eastAsia="ro-RO"/>
        </w:rPr>
        <w:t xml:space="preserve"> </w:t>
      </w:r>
    </w:p>
    <w:p w:rsidR="00B91F65" w:rsidRPr="00254E1F" w:rsidRDefault="00B91F65" w:rsidP="00254E1F">
      <w:pPr>
        <w:spacing w:after="0" w:line="360" w:lineRule="auto"/>
        <w:ind w:left="0" w:firstLine="720"/>
        <w:jc w:val="left"/>
        <w:rPr>
          <w:rFonts w:ascii="Times New Roman" w:eastAsia="Times New Roman" w:hAnsi="Times New Roman" w:cs="Arial"/>
          <w:color w:val="000000"/>
          <w:sz w:val="24"/>
          <w:szCs w:val="24"/>
          <w:lang w:val="ro-RO" w:eastAsia="ro-RO"/>
        </w:rPr>
      </w:pPr>
    </w:p>
    <w:tbl>
      <w:tblPr>
        <w:tblW w:w="7616" w:type="dxa"/>
        <w:tblInd w:w="1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9"/>
        <w:gridCol w:w="1350"/>
        <w:gridCol w:w="1350"/>
        <w:gridCol w:w="1517"/>
        <w:gridCol w:w="1800"/>
      </w:tblGrid>
      <w:tr w:rsidR="00254E1F" w:rsidRPr="00254E1F" w:rsidTr="00633E01">
        <w:trPr>
          <w:trHeight w:val="1241"/>
        </w:trPr>
        <w:tc>
          <w:tcPr>
            <w:tcW w:w="1599" w:type="dxa"/>
          </w:tcPr>
          <w:p w:rsidR="00254E1F" w:rsidRPr="00E80E1A" w:rsidRDefault="00254E1F" w:rsidP="00254E1F">
            <w:pPr>
              <w:keepNext/>
              <w:spacing w:after="0" w:line="240" w:lineRule="auto"/>
              <w:ind w:left="0"/>
              <w:jc w:val="center"/>
              <w:outlineLvl w:val="2"/>
              <w:rPr>
                <w:rFonts w:eastAsia="Times New Roman"/>
                <w:b/>
                <w:bCs/>
                <w:lang w:val="fr-FR" w:eastAsia="ro-RO"/>
              </w:rPr>
            </w:pPr>
            <w:r w:rsidRPr="00E80E1A">
              <w:rPr>
                <w:rFonts w:eastAsia="Times New Roman"/>
                <w:b/>
                <w:bCs/>
                <w:lang w:val="fr-FR" w:eastAsia="ro-RO"/>
              </w:rPr>
              <w:t>Anul</w:t>
            </w:r>
          </w:p>
          <w:p w:rsidR="00254E1F" w:rsidRPr="00E80E1A" w:rsidRDefault="00254E1F" w:rsidP="00932D24">
            <w:pPr>
              <w:keepNext/>
              <w:spacing w:after="0" w:line="240" w:lineRule="auto"/>
              <w:ind w:left="0"/>
              <w:jc w:val="center"/>
              <w:outlineLvl w:val="2"/>
              <w:rPr>
                <w:rFonts w:eastAsia="Times New Roman"/>
                <w:b/>
                <w:bCs/>
                <w:lang w:val="fr-FR" w:eastAsia="ro-RO"/>
              </w:rPr>
            </w:pPr>
            <w:r w:rsidRPr="00E80E1A">
              <w:rPr>
                <w:rFonts w:eastAsia="Times New Roman"/>
                <w:b/>
                <w:bCs/>
                <w:lang w:val="fr-FR" w:eastAsia="ro-RO"/>
              </w:rPr>
              <w:t>20</w:t>
            </w:r>
            <w:r w:rsidR="002F3C67">
              <w:rPr>
                <w:rFonts w:eastAsia="Times New Roman"/>
                <w:b/>
                <w:bCs/>
                <w:lang w:val="fr-FR" w:eastAsia="ro-RO"/>
              </w:rPr>
              <w:t>2</w:t>
            </w:r>
            <w:r w:rsidR="00932D24">
              <w:rPr>
                <w:rFonts w:eastAsia="Times New Roman"/>
                <w:b/>
                <w:bCs/>
                <w:lang w:val="fr-FR" w:eastAsia="ro-RO"/>
              </w:rPr>
              <w:t>2</w:t>
            </w:r>
          </w:p>
        </w:tc>
        <w:tc>
          <w:tcPr>
            <w:tcW w:w="1350" w:type="dxa"/>
          </w:tcPr>
          <w:p w:rsidR="00254E1F" w:rsidRPr="00E80E1A" w:rsidRDefault="00254E1F" w:rsidP="00254E1F">
            <w:pPr>
              <w:keepNext/>
              <w:spacing w:after="0" w:line="240" w:lineRule="auto"/>
              <w:ind w:left="0"/>
              <w:jc w:val="center"/>
              <w:outlineLvl w:val="0"/>
              <w:rPr>
                <w:rFonts w:eastAsia="Times New Roman"/>
                <w:b/>
                <w:bCs/>
                <w:lang w:val="ro-RO" w:eastAsia="ro-RO"/>
              </w:rPr>
            </w:pPr>
            <w:r w:rsidRPr="00E80E1A">
              <w:rPr>
                <w:rFonts w:eastAsia="Times New Roman"/>
                <w:b/>
                <w:bCs/>
                <w:lang w:val="ro-RO" w:eastAsia="ro-RO"/>
              </w:rPr>
              <w:t>Nr.total persoane</w:t>
            </w:r>
          </w:p>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aflate in evidenta</w:t>
            </w:r>
          </w:p>
          <w:p w:rsidR="00254E1F" w:rsidRPr="00E80E1A" w:rsidRDefault="00254E1F" w:rsidP="00254E1F">
            <w:pPr>
              <w:spacing w:after="0" w:line="240" w:lineRule="auto"/>
              <w:ind w:left="0"/>
              <w:jc w:val="center"/>
              <w:rPr>
                <w:rFonts w:eastAsia="Times New Roman"/>
                <w:lang w:val="fr-FR" w:eastAsia="ro-RO"/>
              </w:rPr>
            </w:pPr>
            <w:r w:rsidRPr="00E80E1A">
              <w:rPr>
                <w:rFonts w:eastAsia="Times New Roman"/>
                <w:b/>
                <w:bCs/>
                <w:lang w:val="fr-FR" w:eastAsia="ro-RO"/>
              </w:rPr>
              <w:t>AJOFM</w:t>
            </w:r>
          </w:p>
        </w:tc>
        <w:tc>
          <w:tcPr>
            <w:tcW w:w="1350" w:type="dxa"/>
          </w:tcPr>
          <w:p w:rsidR="00254E1F" w:rsidRPr="00E80E1A" w:rsidRDefault="00254E1F" w:rsidP="00254E1F">
            <w:pPr>
              <w:spacing w:after="0" w:line="240" w:lineRule="auto"/>
              <w:ind w:left="0"/>
              <w:jc w:val="center"/>
              <w:rPr>
                <w:rFonts w:eastAsia="Times New Roman"/>
                <w:b/>
                <w:bCs/>
                <w:lang w:val="fr-FR" w:eastAsia="ro-RO"/>
              </w:rPr>
            </w:pPr>
            <w:r w:rsidRPr="00E80E1A">
              <w:rPr>
                <w:rFonts w:eastAsia="Times New Roman"/>
                <w:b/>
                <w:bCs/>
                <w:lang w:val="fr-FR" w:eastAsia="ro-RO"/>
              </w:rPr>
              <w:t>Rata</w:t>
            </w:r>
          </w:p>
          <w:p w:rsidR="00254E1F" w:rsidRPr="00E80E1A" w:rsidRDefault="00254E1F" w:rsidP="00254E1F">
            <w:pPr>
              <w:spacing w:after="0" w:line="240" w:lineRule="auto"/>
              <w:ind w:left="0"/>
              <w:jc w:val="center"/>
              <w:rPr>
                <w:rFonts w:eastAsia="Times New Roman"/>
                <w:b/>
                <w:bCs/>
                <w:lang w:val="fr-FR" w:eastAsia="ro-RO"/>
              </w:rPr>
            </w:pPr>
            <w:r w:rsidRPr="00E80E1A">
              <w:rPr>
                <w:rFonts w:eastAsia="Times New Roman"/>
                <w:b/>
                <w:bCs/>
                <w:lang w:val="fr-FR" w:eastAsia="ro-RO"/>
              </w:rPr>
              <w:t xml:space="preserve">șomajului </w:t>
            </w:r>
          </w:p>
          <w:p w:rsidR="00254E1F" w:rsidRPr="00E80E1A" w:rsidRDefault="00254E1F" w:rsidP="00254E1F">
            <w:pPr>
              <w:spacing w:after="0" w:line="240" w:lineRule="auto"/>
              <w:ind w:left="0"/>
              <w:jc w:val="center"/>
              <w:rPr>
                <w:rFonts w:eastAsia="Times New Roman"/>
                <w:lang w:val="fr-FR" w:eastAsia="ro-RO"/>
              </w:rPr>
            </w:pPr>
            <w:r w:rsidRPr="00E80E1A">
              <w:rPr>
                <w:rFonts w:eastAsia="Times New Roman"/>
                <w:b/>
                <w:bCs/>
                <w:lang w:val="fr-FR" w:eastAsia="ro-RO"/>
              </w:rPr>
              <w:t>%</w:t>
            </w:r>
          </w:p>
        </w:tc>
        <w:tc>
          <w:tcPr>
            <w:tcW w:w="1517" w:type="dxa"/>
          </w:tcPr>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Șomeri      indemnizați</w:t>
            </w:r>
          </w:p>
        </w:tc>
        <w:tc>
          <w:tcPr>
            <w:tcW w:w="1800" w:type="dxa"/>
          </w:tcPr>
          <w:p w:rsidR="00254E1F" w:rsidRPr="00E80E1A" w:rsidRDefault="00254E1F" w:rsidP="00254E1F">
            <w:pPr>
              <w:spacing w:after="0" w:line="240" w:lineRule="auto"/>
              <w:ind w:left="0"/>
              <w:jc w:val="center"/>
              <w:rPr>
                <w:rFonts w:eastAsia="Times New Roman"/>
                <w:b/>
                <w:bCs/>
                <w:lang w:val="ro-RO" w:eastAsia="ro-RO"/>
              </w:rPr>
            </w:pPr>
            <w:r w:rsidRPr="00E80E1A">
              <w:rPr>
                <w:rFonts w:eastAsia="Times New Roman"/>
                <w:b/>
                <w:bCs/>
                <w:lang w:val="ro-RO" w:eastAsia="ro-RO"/>
              </w:rPr>
              <w:t>Șomeri neindemnizați</w:t>
            </w:r>
          </w:p>
        </w:tc>
      </w:tr>
      <w:tr w:rsidR="00D32960" w:rsidRPr="00254E1F" w:rsidTr="00633E01">
        <w:trPr>
          <w:trHeight w:val="422"/>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Ianuarie</w:t>
            </w:r>
          </w:p>
        </w:tc>
        <w:tc>
          <w:tcPr>
            <w:tcW w:w="1350" w:type="dxa"/>
            <w:vAlign w:val="center"/>
          </w:tcPr>
          <w:p w:rsidR="00D32960" w:rsidRPr="00E80E1A" w:rsidRDefault="00D32960" w:rsidP="00633E01">
            <w:pPr>
              <w:spacing w:after="0" w:line="240" w:lineRule="auto"/>
              <w:ind w:left="0"/>
              <w:jc w:val="center"/>
              <w:rPr>
                <w:rFonts w:eastAsia="Times New Roman"/>
                <w:b/>
                <w:lang w:val="fr-FR" w:eastAsia="ro-RO"/>
              </w:rPr>
            </w:pPr>
            <w:r>
              <w:rPr>
                <w:rFonts w:eastAsia="Times New Roman"/>
                <w:b/>
                <w:lang w:val="fr-FR" w:eastAsia="ro-RO"/>
              </w:rPr>
              <w:t>8.254</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64</w:t>
            </w:r>
          </w:p>
        </w:tc>
        <w:tc>
          <w:tcPr>
            <w:tcW w:w="1517"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2.534</w:t>
            </w:r>
          </w:p>
        </w:tc>
        <w:tc>
          <w:tcPr>
            <w:tcW w:w="1800"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5.720</w:t>
            </w:r>
          </w:p>
        </w:tc>
      </w:tr>
      <w:tr w:rsidR="00D32960" w:rsidRPr="00254E1F" w:rsidTr="00633E01">
        <w:trPr>
          <w:trHeight w:val="431"/>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Februarie</w:t>
            </w:r>
          </w:p>
        </w:tc>
        <w:tc>
          <w:tcPr>
            <w:tcW w:w="1350" w:type="dxa"/>
            <w:vAlign w:val="center"/>
          </w:tcPr>
          <w:p w:rsidR="00D32960" w:rsidRPr="00E80E1A" w:rsidRDefault="00D32960" w:rsidP="00633E01">
            <w:pPr>
              <w:spacing w:after="0" w:line="240" w:lineRule="auto"/>
              <w:ind w:left="0"/>
              <w:jc w:val="center"/>
              <w:rPr>
                <w:rFonts w:eastAsia="Times New Roman"/>
                <w:b/>
                <w:lang w:val="fr-FR" w:eastAsia="ro-RO"/>
              </w:rPr>
            </w:pPr>
            <w:r>
              <w:rPr>
                <w:rFonts w:eastAsia="Times New Roman"/>
                <w:b/>
                <w:lang w:val="fr-FR" w:eastAsia="ro-RO"/>
              </w:rPr>
              <w:t>7.905</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48</w:t>
            </w:r>
          </w:p>
        </w:tc>
        <w:tc>
          <w:tcPr>
            <w:tcW w:w="1517"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2.191</w:t>
            </w:r>
          </w:p>
        </w:tc>
        <w:tc>
          <w:tcPr>
            <w:tcW w:w="1800"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5.714</w:t>
            </w:r>
          </w:p>
        </w:tc>
      </w:tr>
      <w:tr w:rsidR="00D32960" w:rsidRPr="00254E1F" w:rsidTr="00633E01">
        <w:trPr>
          <w:trHeight w:val="449"/>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Martie</w:t>
            </w:r>
          </w:p>
        </w:tc>
        <w:tc>
          <w:tcPr>
            <w:tcW w:w="1350" w:type="dxa"/>
            <w:vAlign w:val="center"/>
          </w:tcPr>
          <w:p w:rsidR="00D32960" w:rsidRPr="00E80E1A" w:rsidRDefault="00D32960" w:rsidP="00633E01">
            <w:pPr>
              <w:spacing w:after="0" w:line="240" w:lineRule="auto"/>
              <w:ind w:left="0"/>
              <w:jc w:val="center"/>
              <w:rPr>
                <w:rFonts w:eastAsia="Times New Roman"/>
                <w:b/>
                <w:lang w:val="fr-FR" w:eastAsia="ro-RO"/>
              </w:rPr>
            </w:pPr>
            <w:r>
              <w:rPr>
                <w:rFonts w:eastAsia="Times New Roman"/>
                <w:b/>
                <w:lang w:val="fr-FR" w:eastAsia="ro-RO"/>
              </w:rPr>
              <w:t>7.834</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45</w:t>
            </w:r>
          </w:p>
        </w:tc>
        <w:tc>
          <w:tcPr>
            <w:tcW w:w="1517"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2.039</w:t>
            </w:r>
          </w:p>
        </w:tc>
        <w:tc>
          <w:tcPr>
            <w:tcW w:w="1800"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5.795</w:t>
            </w:r>
          </w:p>
        </w:tc>
      </w:tr>
      <w:tr w:rsidR="00D32960" w:rsidRPr="00254E1F" w:rsidTr="00633E01">
        <w:trPr>
          <w:trHeight w:val="476"/>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Aprilie</w:t>
            </w:r>
          </w:p>
        </w:tc>
        <w:tc>
          <w:tcPr>
            <w:tcW w:w="1350" w:type="dxa"/>
            <w:vAlign w:val="center"/>
          </w:tcPr>
          <w:p w:rsidR="00D32960" w:rsidRPr="00E80E1A" w:rsidRDefault="00D32960" w:rsidP="00633E01">
            <w:pPr>
              <w:spacing w:after="0" w:line="240" w:lineRule="auto"/>
              <w:ind w:left="0"/>
              <w:jc w:val="center"/>
              <w:rPr>
                <w:rFonts w:eastAsia="Times New Roman"/>
                <w:b/>
                <w:lang w:val="fr-FR" w:eastAsia="ro-RO"/>
              </w:rPr>
            </w:pPr>
            <w:r>
              <w:rPr>
                <w:rFonts w:eastAsia="Times New Roman"/>
                <w:b/>
                <w:lang w:val="fr-FR" w:eastAsia="ro-RO"/>
              </w:rPr>
              <w:t>7.796</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44</w:t>
            </w:r>
          </w:p>
        </w:tc>
        <w:tc>
          <w:tcPr>
            <w:tcW w:w="1517"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1.920</w:t>
            </w:r>
          </w:p>
        </w:tc>
        <w:tc>
          <w:tcPr>
            <w:tcW w:w="1800"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5.876</w:t>
            </w:r>
          </w:p>
        </w:tc>
      </w:tr>
      <w:tr w:rsidR="00D32960" w:rsidRPr="00254E1F" w:rsidTr="00633E01">
        <w:trPr>
          <w:trHeight w:val="404"/>
        </w:trPr>
        <w:tc>
          <w:tcPr>
            <w:tcW w:w="1599" w:type="dxa"/>
          </w:tcPr>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Mai</w:t>
            </w:r>
          </w:p>
        </w:tc>
        <w:tc>
          <w:tcPr>
            <w:tcW w:w="1350" w:type="dxa"/>
            <w:vAlign w:val="center"/>
          </w:tcPr>
          <w:p w:rsidR="00D32960" w:rsidRPr="00E80E1A" w:rsidRDefault="00D32960" w:rsidP="00633E01">
            <w:pPr>
              <w:spacing w:after="0" w:line="240" w:lineRule="auto"/>
              <w:ind w:left="0"/>
              <w:jc w:val="center"/>
              <w:rPr>
                <w:rFonts w:eastAsia="Times New Roman"/>
                <w:b/>
                <w:lang w:val="fr-FR" w:eastAsia="ro-RO"/>
              </w:rPr>
            </w:pPr>
            <w:r>
              <w:rPr>
                <w:rFonts w:eastAsia="Times New Roman"/>
                <w:b/>
                <w:lang w:val="fr-FR" w:eastAsia="ro-RO"/>
              </w:rPr>
              <w:t>7.731</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41</w:t>
            </w:r>
          </w:p>
        </w:tc>
        <w:tc>
          <w:tcPr>
            <w:tcW w:w="1517"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1.785</w:t>
            </w:r>
          </w:p>
        </w:tc>
        <w:tc>
          <w:tcPr>
            <w:tcW w:w="1800"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5.946</w:t>
            </w:r>
          </w:p>
        </w:tc>
      </w:tr>
      <w:tr w:rsidR="00D32960" w:rsidRPr="00254E1F" w:rsidTr="00633E01">
        <w:trPr>
          <w:trHeight w:val="422"/>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Iunie</w:t>
            </w:r>
          </w:p>
        </w:tc>
        <w:tc>
          <w:tcPr>
            <w:tcW w:w="1350" w:type="dxa"/>
            <w:vAlign w:val="center"/>
          </w:tcPr>
          <w:p w:rsidR="00D32960" w:rsidRPr="00E80E1A" w:rsidRDefault="00D32960" w:rsidP="00633E01">
            <w:pPr>
              <w:spacing w:after="0" w:line="240" w:lineRule="auto"/>
              <w:ind w:left="0"/>
              <w:jc w:val="center"/>
              <w:rPr>
                <w:rFonts w:eastAsia="Times New Roman"/>
                <w:b/>
                <w:lang w:val="fr-FR" w:eastAsia="ro-RO"/>
              </w:rPr>
            </w:pPr>
            <w:r>
              <w:rPr>
                <w:rFonts w:eastAsia="Times New Roman"/>
                <w:b/>
                <w:lang w:val="fr-FR" w:eastAsia="ro-RO"/>
              </w:rPr>
              <w:t>7.759</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42</w:t>
            </w:r>
          </w:p>
        </w:tc>
        <w:tc>
          <w:tcPr>
            <w:tcW w:w="1517"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1.718</w:t>
            </w:r>
          </w:p>
        </w:tc>
        <w:tc>
          <w:tcPr>
            <w:tcW w:w="1800" w:type="dxa"/>
            <w:vAlign w:val="center"/>
          </w:tcPr>
          <w:p w:rsidR="00D32960" w:rsidRPr="00E80E1A" w:rsidRDefault="00D32960" w:rsidP="00633E01">
            <w:pPr>
              <w:spacing w:after="0" w:line="240" w:lineRule="auto"/>
              <w:ind w:left="0"/>
              <w:jc w:val="center"/>
              <w:rPr>
                <w:rFonts w:eastAsia="Times New Roman"/>
                <w:lang w:val="fr-FR" w:eastAsia="ro-RO"/>
              </w:rPr>
            </w:pPr>
            <w:r>
              <w:rPr>
                <w:rFonts w:eastAsia="Times New Roman"/>
                <w:lang w:val="fr-FR" w:eastAsia="ro-RO"/>
              </w:rPr>
              <w:t>6.041</w:t>
            </w:r>
          </w:p>
        </w:tc>
      </w:tr>
      <w:tr w:rsidR="00D32960" w:rsidRPr="00254E1F" w:rsidTr="00633E01">
        <w:trPr>
          <w:trHeight w:val="341"/>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Iulie</w:t>
            </w:r>
          </w:p>
        </w:tc>
        <w:tc>
          <w:tcPr>
            <w:tcW w:w="1350" w:type="dxa"/>
            <w:vAlign w:val="center"/>
          </w:tcPr>
          <w:p w:rsidR="00D32960" w:rsidRDefault="00D32960" w:rsidP="00633E01">
            <w:pPr>
              <w:spacing w:after="0" w:line="240" w:lineRule="auto"/>
              <w:ind w:left="0"/>
              <w:jc w:val="center"/>
              <w:rPr>
                <w:rFonts w:eastAsia="Times New Roman"/>
                <w:b/>
                <w:lang w:val="fr-FR" w:eastAsia="ro-RO"/>
              </w:rPr>
            </w:pPr>
            <w:r>
              <w:rPr>
                <w:rFonts w:eastAsia="Times New Roman"/>
                <w:b/>
                <w:lang w:val="fr-FR" w:eastAsia="ro-RO"/>
              </w:rPr>
              <w:t>7.820</w:t>
            </w:r>
          </w:p>
        </w:tc>
        <w:tc>
          <w:tcPr>
            <w:tcW w:w="1350" w:type="dxa"/>
            <w:vAlign w:val="center"/>
          </w:tcPr>
          <w:p w:rsidR="00D32960"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45</w:t>
            </w:r>
          </w:p>
        </w:tc>
        <w:tc>
          <w:tcPr>
            <w:tcW w:w="1517" w:type="dxa"/>
            <w:vAlign w:val="center"/>
          </w:tcPr>
          <w:p w:rsidR="00D32960" w:rsidRDefault="00D32960" w:rsidP="00633E01">
            <w:pPr>
              <w:spacing w:after="0" w:line="240" w:lineRule="auto"/>
              <w:ind w:left="0"/>
              <w:jc w:val="center"/>
              <w:rPr>
                <w:rFonts w:eastAsia="Times New Roman"/>
                <w:lang w:val="fr-FR" w:eastAsia="ro-RO"/>
              </w:rPr>
            </w:pPr>
            <w:r>
              <w:rPr>
                <w:rFonts w:eastAsia="Times New Roman"/>
                <w:lang w:val="fr-FR" w:eastAsia="ro-RO"/>
              </w:rPr>
              <w:t>1.681</w:t>
            </w:r>
          </w:p>
        </w:tc>
        <w:tc>
          <w:tcPr>
            <w:tcW w:w="1800" w:type="dxa"/>
            <w:vAlign w:val="center"/>
          </w:tcPr>
          <w:p w:rsidR="00D32960" w:rsidRDefault="00D32960" w:rsidP="00633E01">
            <w:pPr>
              <w:spacing w:after="0" w:line="240" w:lineRule="auto"/>
              <w:ind w:left="0"/>
              <w:jc w:val="center"/>
              <w:rPr>
                <w:rFonts w:eastAsia="Times New Roman"/>
                <w:lang w:val="fr-FR" w:eastAsia="ro-RO"/>
              </w:rPr>
            </w:pPr>
            <w:r>
              <w:rPr>
                <w:rFonts w:eastAsia="Times New Roman"/>
                <w:lang w:val="fr-FR" w:eastAsia="ro-RO"/>
              </w:rPr>
              <w:t>6.139</w:t>
            </w:r>
          </w:p>
        </w:tc>
      </w:tr>
      <w:tr w:rsidR="00D32960" w:rsidRPr="00254E1F" w:rsidTr="00633E01">
        <w:trPr>
          <w:trHeight w:val="377"/>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August</w:t>
            </w:r>
          </w:p>
        </w:tc>
        <w:tc>
          <w:tcPr>
            <w:tcW w:w="1350" w:type="dxa"/>
            <w:vAlign w:val="center"/>
          </w:tcPr>
          <w:p w:rsidR="00D32960" w:rsidRPr="00E80E1A" w:rsidRDefault="00D32960" w:rsidP="00D2404F">
            <w:pPr>
              <w:spacing w:after="0" w:line="240" w:lineRule="auto"/>
              <w:ind w:left="0"/>
              <w:jc w:val="center"/>
              <w:rPr>
                <w:rFonts w:eastAsia="Times New Roman"/>
                <w:b/>
                <w:lang w:val="fr-FR" w:eastAsia="ro-RO"/>
              </w:rPr>
            </w:pPr>
            <w:r>
              <w:rPr>
                <w:rFonts w:eastAsia="Times New Roman"/>
                <w:b/>
                <w:lang w:val="fr-FR" w:eastAsia="ro-RO"/>
              </w:rPr>
              <w:t>7.934</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5</w:t>
            </w:r>
          </w:p>
        </w:tc>
        <w:tc>
          <w:tcPr>
            <w:tcW w:w="1517" w:type="dxa"/>
            <w:vAlign w:val="center"/>
          </w:tcPr>
          <w:p w:rsidR="00D32960" w:rsidRPr="00E80E1A" w:rsidRDefault="00D32960" w:rsidP="00D2404F">
            <w:pPr>
              <w:spacing w:after="0" w:line="240" w:lineRule="auto"/>
              <w:ind w:left="0"/>
              <w:jc w:val="center"/>
              <w:rPr>
                <w:rFonts w:eastAsia="Times New Roman"/>
                <w:lang w:val="fr-FR" w:eastAsia="ro-RO"/>
              </w:rPr>
            </w:pPr>
            <w:r>
              <w:rPr>
                <w:rFonts w:eastAsia="Times New Roman"/>
                <w:lang w:val="fr-FR" w:eastAsia="ro-RO"/>
              </w:rPr>
              <w:t>1.730</w:t>
            </w:r>
          </w:p>
        </w:tc>
        <w:tc>
          <w:tcPr>
            <w:tcW w:w="1800" w:type="dxa"/>
            <w:vAlign w:val="center"/>
          </w:tcPr>
          <w:p w:rsidR="00D32960" w:rsidRPr="00E80E1A" w:rsidRDefault="00D32960" w:rsidP="00D2404F">
            <w:pPr>
              <w:spacing w:after="0" w:line="240" w:lineRule="auto"/>
              <w:ind w:left="0"/>
              <w:jc w:val="center"/>
              <w:rPr>
                <w:rFonts w:eastAsia="Times New Roman"/>
                <w:lang w:val="fr-FR" w:eastAsia="ro-RO"/>
              </w:rPr>
            </w:pPr>
            <w:r>
              <w:rPr>
                <w:rFonts w:eastAsia="Times New Roman"/>
                <w:lang w:val="fr-FR" w:eastAsia="ro-RO"/>
              </w:rPr>
              <w:t>6.204</w:t>
            </w:r>
          </w:p>
        </w:tc>
      </w:tr>
      <w:tr w:rsidR="00D32960" w:rsidRPr="00254E1F" w:rsidTr="00633E01">
        <w:trPr>
          <w:trHeight w:val="296"/>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Septembrie</w:t>
            </w:r>
          </w:p>
        </w:tc>
        <w:tc>
          <w:tcPr>
            <w:tcW w:w="1350" w:type="dxa"/>
            <w:vAlign w:val="center"/>
          </w:tcPr>
          <w:p w:rsidR="00D32960" w:rsidRPr="00E80E1A" w:rsidRDefault="00D32960" w:rsidP="00D2404F">
            <w:pPr>
              <w:spacing w:after="0" w:line="240" w:lineRule="auto"/>
              <w:ind w:left="0"/>
              <w:jc w:val="center"/>
              <w:rPr>
                <w:rFonts w:eastAsia="Times New Roman"/>
                <w:b/>
                <w:lang w:val="fr-FR" w:eastAsia="ro-RO"/>
              </w:rPr>
            </w:pPr>
            <w:r>
              <w:rPr>
                <w:rFonts w:eastAsia="Times New Roman"/>
                <w:b/>
                <w:lang w:val="fr-FR" w:eastAsia="ro-RO"/>
              </w:rPr>
              <w:t>8.007</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53</w:t>
            </w:r>
          </w:p>
        </w:tc>
        <w:tc>
          <w:tcPr>
            <w:tcW w:w="1517" w:type="dxa"/>
            <w:vAlign w:val="center"/>
          </w:tcPr>
          <w:p w:rsidR="00D32960" w:rsidRPr="00E80E1A" w:rsidRDefault="00D32960" w:rsidP="00D2404F">
            <w:pPr>
              <w:spacing w:after="0" w:line="240" w:lineRule="auto"/>
              <w:ind w:left="0"/>
              <w:jc w:val="center"/>
              <w:rPr>
                <w:rFonts w:eastAsia="Times New Roman"/>
                <w:lang w:val="fr-FR" w:eastAsia="ro-RO"/>
              </w:rPr>
            </w:pPr>
            <w:r>
              <w:rPr>
                <w:rFonts w:eastAsia="Times New Roman"/>
                <w:lang w:val="fr-FR" w:eastAsia="ro-RO"/>
              </w:rPr>
              <w:t>1.670</w:t>
            </w:r>
          </w:p>
        </w:tc>
        <w:tc>
          <w:tcPr>
            <w:tcW w:w="1800" w:type="dxa"/>
            <w:vAlign w:val="center"/>
          </w:tcPr>
          <w:p w:rsidR="00D32960" w:rsidRPr="00E80E1A" w:rsidRDefault="00D32960" w:rsidP="00D2404F">
            <w:pPr>
              <w:spacing w:after="0" w:line="240" w:lineRule="auto"/>
              <w:ind w:left="0"/>
              <w:jc w:val="center"/>
              <w:rPr>
                <w:rFonts w:eastAsia="Times New Roman"/>
                <w:lang w:val="fr-FR" w:eastAsia="ro-RO"/>
              </w:rPr>
            </w:pPr>
            <w:r>
              <w:rPr>
                <w:rFonts w:eastAsia="Times New Roman"/>
                <w:lang w:val="fr-FR" w:eastAsia="ro-RO"/>
              </w:rPr>
              <w:t>6.337</w:t>
            </w:r>
          </w:p>
        </w:tc>
      </w:tr>
      <w:tr w:rsidR="00D32960" w:rsidRPr="00254E1F" w:rsidTr="00633E01">
        <w:trPr>
          <w:trHeight w:val="494"/>
        </w:trPr>
        <w:tc>
          <w:tcPr>
            <w:tcW w:w="1599" w:type="dxa"/>
          </w:tcPr>
          <w:p w:rsidR="00D32960" w:rsidRPr="00E80E1A" w:rsidRDefault="00D32960" w:rsidP="00254E1F">
            <w:pPr>
              <w:spacing w:after="0" w:line="240" w:lineRule="auto"/>
              <w:ind w:left="0"/>
              <w:jc w:val="center"/>
              <w:rPr>
                <w:rFonts w:eastAsia="Times New Roman"/>
                <w:b/>
                <w:lang w:val="ro-RO" w:eastAsia="ro-RO"/>
              </w:rPr>
            </w:pPr>
          </w:p>
          <w:p w:rsidR="00D32960" w:rsidRPr="00E80E1A" w:rsidRDefault="00D32960" w:rsidP="00254E1F">
            <w:pPr>
              <w:spacing w:after="0" w:line="240" w:lineRule="auto"/>
              <w:ind w:left="0"/>
              <w:jc w:val="center"/>
              <w:rPr>
                <w:rFonts w:eastAsia="Times New Roman"/>
                <w:b/>
                <w:lang w:val="ro-RO" w:eastAsia="ro-RO"/>
              </w:rPr>
            </w:pPr>
            <w:r w:rsidRPr="00E80E1A">
              <w:rPr>
                <w:rFonts w:eastAsia="Times New Roman"/>
                <w:b/>
                <w:lang w:val="ro-RO" w:eastAsia="ro-RO"/>
              </w:rPr>
              <w:t>Octombrie</w:t>
            </w:r>
          </w:p>
        </w:tc>
        <w:tc>
          <w:tcPr>
            <w:tcW w:w="1350" w:type="dxa"/>
            <w:vAlign w:val="center"/>
          </w:tcPr>
          <w:p w:rsidR="00D32960" w:rsidRPr="00E80E1A" w:rsidRDefault="00D32960" w:rsidP="00D2404F">
            <w:pPr>
              <w:spacing w:after="0" w:line="240" w:lineRule="auto"/>
              <w:ind w:left="0"/>
              <w:jc w:val="center"/>
              <w:rPr>
                <w:rFonts w:eastAsia="Times New Roman"/>
                <w:b/>
                <w:lang w:val="fr-FR" w:eastAsia="ro-RO"/>
              </w:rPr>
            </w:pPr>
            <w:r>
              <w:rPr>
                <w:rFonts w:eastAsia="Times New Roman"/>
                <w:b/>
                <w:lang w:val="fr-FR" w:eastAsia="ro-RO"/>
              </w:rPr>
              <w:t>8.082</w:t>
            </w:r>
          </w:p>
        </w:tc>
        <w:tc>
          <w:tcPr>
            <w:tcW w:w="1350" w:type="dxa"/>
            <w:vAlign w:val="center"/>
          </w:tcPr>
          <w:p w:rsidR="00D32960" w:rsidRPr="00E80E1A" w:rsidRDefault="00D32960" w:rsidP="002349E4">
            <w:pPr>
              <w:spacing w:after="0" w:line="240" w:lineRule="auto"/>
              <w:ind w:left="0"/>
              <w:jc w:val="center"/>
              <w:rPr>
                <w:rFonts w:eastAsia="Times New Roman"/>
                <w:lang w:val="fr-FR" w:eastAsia="ro-RO"/>
              </w:rPr>
            </w:pPr>
            <w:r>
              <w:rPr>
                <w:rFonts w:eastAsia="Times New Roman"/>
                <w:lang w:val="fr-FR" w:eastAsia="ro-RO"/>
              </w:rPr>
              <w:t>3,</w:t>
            </w:r>
            <w:r w:rsidR="002349E4">
              <w:rPr>
                <w:rFonts w:eastAsia="Times New Roman"/>
                <w:lang w:val="fr-FR" w:eastAsia="ro-RO"/>
              </w:rPr>
              <w:t>56</w:t>
            </w:r>
          </w:p>
        </w:tc>
        <w:tc>
          <w:tcPr>
            <w:tcW w:w="1517" w:type="dxa"/>
            <w:vAlign w:val="center"/>
          </w:tcPr>
          <w:p w:rsidR="00D32960" w:rsidRPr="00E80E1A" w:rsidRDefault="00D32960" w:rsidP="00D2404F">
            <w:pPr>
              <w:spacing w:after="0" w:line="240" w:lineRule="auto"/>
              <w:ind w:left="0"/>
              <w:jc w:val="center"/>
              <w:rPr>
                <w:rFonts w:eastAsia="Times New Roman"/>
                <w:lang w:val="fr-FR" w:eastAsia="ro-RO"/>
              </w:rPr>
            </w:pPr>
            <w:r>
              <w:rPr>
                <w:rFonts w:eastAsia="Times New Roman"/>
                <w:lang w:val="fr-FR" w:eastAsia="ro-RO"/>
              </w:rPr>
              <w:t>1.684</w:t>
            </w:r>
          </w:p>
        </w:tc>
        <w:tc>
          <w:tcPr>
            <w:tcW w:w="1800" w:type="dxa"/>
            <w:vAlign w:val="center"/>
          </w:tcPr>
          <w:p w:rsidR="00D32960" w:rsidRPr="00E80E1A" w:rsidRDefault="00D32960" w:rsidP="00D2404F">
            <w:pPr>
              <w:spacing w:after="0" w:line="240" w:lineRule="auto"/>
              <w:ind w:left="0"/>
              <w:jc w:val="center"/>
              <w:rPr>
                <w:rFonts w:eastAsia="Times New Roman"/>
                <w:lang w:val="fr-FR" w:eastAsia="ro-RO"/>
              </w:rPr>
            </w:pPr>
            <w:r>
              <w:rPr>
                <w:rFonts w:eastAsia="Times New Roman"/>
                <w:lang w:val="fr-FR" w:eastAsia="ro-RO"/>
              </w:rPr>
              <w:t>6.398</w:t>
            </w:r>
          </w:p>
        </w:tc>
      </w:tr>
      <w:tr w:rsidR="002349E4" w:rsidRPr="00254E1F" w:rsidTr="00633E01">
        <w:trPr>
          <w:trHeight w:val="494"/>
        </w:trPr>
        <w:tc>
          <w:tcPr>
            <w:tcW w:w="1599" w:type="dxa"/>
          </w:tcPr>
          <w:p w:rsidR="002349E4" w:rsidRDefault="002349E4" w:rsidP="00254E1F">
            <w:pPr>
              <w:spacing w:after="0" w:line="240" w:lineRule="auto"/>
              <w:ind w:left="0"/>
              <w:jc w:val="center"/>
              <w:rPr>
                <w:rFonts w:eastAsia="Times New Roman"/>
                <w:b/>
                <w:lang w:val="ro-RO" w:eastAsia="ro-RO"/>
              </w:rPr>
            </w:pPr>
          </w:p>
          <w:p w:rsidR="002349E4" w:rsidRPr="00E80E1A" w:rsidRDefault="002349E4" w:rsidP="00254E1F">
            <w:pPr>
              <w:spacing w:after="0" w:line="240" w:lineRule="auto"/>
              <w:ind w:left="0"/>
              <w:jc w:val="center"/>
              <w:rPr>
                <w:rFonts w:eastAsia="Times New Roman"/>
                <w:b/>
                <w:lang w:val="ro-RO" w:eastAsia="ro-RO"/>
              </w:rPr>
            </w:pPr>
            <w:r>
              <w:rPr>
                <w:rFonts w:eastAsia="Times New Roman"/>
                <w:b/>
                <w:lang w:val="ro-RO" w:eastAsia="ro-RO"/>
              </w:rPr>
              <w:t>Noiembrie</w:t>
            </w:r>
          </w:p>
        </w:tc>
        <w:tc>
          <w:tcPr>
            <w:tcW w:w="1350" w:type="dxa"/>
            <w:vAlign w:val="center"/>
          </w:tcPr>
          <w:p w:rsidR="002349E4" w:rsidRDefault="002349E4" w:rsidP="00D2404F">
            <w:pPr>
              <w:spacing w:after="0" w:line="240" w:lineRule="auto"/>
              <w:ind w:left="0"/>
              <w:jc w:val="center"/>
              <w:rPr>
                <w:rFonts w:eastAsia="Times New Roman"/>
                <w:b/>
                <w:lang w:val="fr-FR" w:eastAsia="ro-RO"/>
              </w:rPr>
            </w:pPr>
            <w:r>
              <w:rPr>
                <w:rFonts w:eastAsia="Times New Roman"/>
                <w:b/>
                <w:lang w:val="fr-FR" w:eastAsia="ro-RO"/>
              </w:rPr>
              <w:t>8.146</w:t>
            </w:r>
          </w:p>
        </w:tc>
        <w:tc>
          <w:tcPr>
            <w:tcW w:w="1350" w:type="dxa"/>
            <w:vAlign w:val="center"/>
          </w:tcPr>
          <w:p w:rsidR="002349E4" w:rsidRDefault="002349E4" w:rsidP="00E227C5">
            <w:pPr>
              <w:spacing w:after="0" w:line="240" w:lineRule="auto"/>
              <w:ind w:left="0"/>
              <w:jc w:val="center"/>
              <w:rPr>
                <w:rFonts w:eastAsia="Times New Roman"/>
                <w:lang w:val="fr-FR" w:eastAsia="ro-RO"/>
              </w:rPr>
            </w:pPr>
            <w:r>
              <w:rPr>
                <w:rFonts w:eastAsia="Times New Roman"/>
                <w:lang w:val="fr-FR" w:eastAsia="ro-RO"/>
              </w:rPr>
              <w:t>3,59</w:t>
            </w:r>
          </w:p>
        </w:tc>
        <w:tc>
          <w:tcPr>
            <w:tcW w:w="1517" w:type="dxa"/>
            <w:vAlign w:val="center"/>
          </w:tcPr>
          <w:p w:rsidR="002349E4" w:rsidRDefault="002349E4" w:rsidP="00D2404F">
            <w:pPr>
              <w:spacing w:after="0" w:line="240" w:lineRule="auto"/>
              <w:ind w:left="0"/>
              <w:jc w:val="center"/>
              <w:rPr>
                <w:rFonts w:eastAsia="Times New Roman"/>
                <w:lang w:val="fr-FR" w:eastAsia="ro-RO"/>
              </w:rPr>
            </w:pPr>
            <w:r>
              <w:rPr>
                <w:rFonts w:eastAsia="Times New Roman"/>
                <w:lang w:val="fr-FR" w:eastAsia="ro-RO"/>
              </w:rPr>
              <w:t>1.693</w:t>
            </w:r>
          </w:p>
        </w:tc>
        <w:tc>
          <w:tcPr>
            <w:tcW w:w="1800" w:type="dxa"/>
            <w:vAlign w:val="center"/>
          </w:tcPr>
          <w:p w:rsidR="002349E4" w:rsidRDefault="002349E4" w:rsidP="00D2404F">
            <w:pPr>
              <w:spacing w:after="0" w:line="240" w:lineRule="auto"/>
              <w:ind w:left="0"/>
              <w:jc w:val="center"/>
              <w:rPr>
                <w:rFonts w:eastAsia="Times New Roman"/>
                <w:lang w:val="fr-FR" w:eastAsia="ro-RO"/>
              </w:rPr>
            </w:pPr>
            <w:r>
              <w:rPr>
                <w:rFonts w:eastAsia="Times New Roman"/>
                <w:lang w:val="fr-FR" w:eastAsia="ro-RO"/>
              </w:rPr>
              <w:t>6.453</w:t>
            </w:r>
          </w:p>
        </w:tc>
      </w:tr>
      <w:tr w:rsidR="002349E4" w:rsidRPr="00254E1F" w:rsidTr="00633E01">
        <w:trPr>
          <w:trHeight w:val="494"/>
        </w:trPr>
        <w:tc>
          <w:tcPr>
            <w:tcW w:w="1599" w:type="dxa"/>
          </w:tcPr>
          <w:p w:rsidR="002349E4" w:rsidRDefault="002349E4" w:rsidP="00254E1F">
            <w:pPr>
              <w:spacing w:after="0" w:line="240" w:lineRule="auto"/>
              <w:ind w:left="0"/>
              <w:jc w:val="center"/>
              <w:rPr>
                <w:rFonts w:eastAsia="Times New Roman"/>
                <w:b/>
                <w:lang w:val="ro-RO" w:eastAsia="ro-RO"/>
              </w:rPr>
            </w:pPr>
          </w:p>
          <w:p w:rsidR="002349E4" w:rsidRDefault="002349E4" w:rsidP="00254E1F">
            <w:pPr>
              <w:spacing w:after="0" w:line="240" w:lineRule="auto"/>
              <w:ind w:left="0"/>
              <w:jc w:val="center"/>
              <w:rPr>
                <w:rFonts w:eastAsia="Times New Roman"/>
                <w:b/>
                <w:lang w:val="ro-RO" w:eastAsia="ro-RO"/>
              </w:rPr>
            </w:pPr>
            <w:r>
              <w:rPr>
                <w:rFonts w:eastAsia="Times New Roman"/>
                <w:b/>
                <w:lang w:val="ro-RO" w:eastAsia="ro-RO"/>
              </w:rPr>
              <w:t>Decembrie</w:t>
            </w:r>
          </w:p>
          <w:p w:rsidR="002349E4" w:rsidRDefault="002349E4" w:rsidP="00254E1F">
            <w:pPr>
              <w:spacing w:after="0" w:line="240" w:lineRule="auto"/>
              <w:ind w:left="0"/>
              <w:jc w:val="center"/>
              <w:rPr>
                <w:rFonts w:eastAsia="Times New Roman"/>
                <w:b/>
                <w:lang w:val="ro-RO" w:eastAsia="ro-RO"/>
              </w:rPr>
            </w:pPr>
          </w:p>
        </w:tc>
        <w:tc>
          <w:tcPr>
            <w:tcW w:w="1350" w:type="dxa"/>
            <w:vAlign w:val="center"/>
          </w:tcPr>
          <w:p w:rsidR="002349E4" w:rsidRDefault="002349E4" w:rsidP="00D2404F">
            <w:pPr>
              <w:spacing w:after="0" w:line="240" w:lineRule="auto"/>
              <w:ind w:left="0"/>
              <w:jc w:val="center"/>
              <w:rPr>
                <w:rFonts w:eastAsia="Times New Roman"/>
                <w:b/>
                <w:lang w:val="fr-FR" w:eastAsia="ro-RO"/>
              </w:rPr>
            </w:pPr>
            <w:r>
              <w:rPr>
                <w:rFonts w:eastAsia="Times New Roman"/>
                <w:b/>
                <w:lang w:val="fr-FR" w:eastAsia="ro-RO"/>
              </w:rPr>
              <w:t>8.114</w:t>
            </w:r>
          </w:p>
        </w:tc>
        <w:tc>
          <w:tcPr>
            <w:tcW w:w="1350" w:type="dxa"/>
            <w:vAlign w:val="center"/>
          </w:tcPr>
          <w:p w:rsidR="002349E4" w:rsidRDefault="002349E4" w:rsidP="00E227C5">
            <w:pPr>
              <w:spacing w:after="0" w:line="240" w:lineRule="auto"/>
              <w:ind w:left="0"/>
              <w:jc w:val="center"/>
              <w:rPr>
                <w:rFonts w:eastAsia="Times New Roman"/>
                <w:lang w:val="fr-FR" w:eastAsia="ro-RO"/>
              </w:rPr>
            </w:pPr>
            <w:r>
              <w:rPr>
                <w:rFonts w:eastAsia="Times New Roman"/>
                <w:lang w:val="fr-FR" w:eastAsia="ro-RO"/>
              </w:rPr>
              <w:t>3,58</w:t>
            </w:r>
          </w:p>
        </w:tc>
        <w:tc>
          <w:tcPr>
            <w:tcW w:w="1517" w:type="dxa"/>
            <w:vAlign w:val="center"/>
          </w:tcPr>
          <w:p w:rsidR="002349E4" w:rsidRDefault="002349E4" w:rsidP="00D2404F">
            <w:pPr>
              <w:spacing w:after="0" w:line="240" w:lineRule="auto"/>
              <w:ind w:left="0"/>
              <w:jc w:val="center"/>
              <w:rPr>
                <w:rFonts w:eastAsia="Times New Roman"/>
                <w:lang w:val="fr-FR" w:eastAsia="ro-RO"/>
              </w:rPr>
            </w:pPr>
            <w:r>
              <w:rPr>
                <w:rFonts w:eastAsia="Times New Roman"/>
                <w:lang w:val="fr-FR" w:eastAsia="ro-RO"/>
              </w:rPr>
              <w:t>1.792</w:t>
            </w:r>
          </w:p>
        </w:tc>
        <w:tc>
          <w:tcPr>
            <w:tcW w:w="1800" w:type="dxa"/>
            <w:vAlign w:val="center"/>
          </w:tcPr>
          <w:p w:rsidR="002349E4" w:rsidRDefault="002349E4" w:rsidP="00D2404F">
            <w:pPr>
              <w:spacing w:after="0" w:line="240" w:lineRule="auto"/>
              <w:ind w:left="0"/>
              <w:jc w:val="center"/>
              <w:rPr>
                <w:rFonts w:eastAsia="Times New Roman"/>
                <w:lang w:val="fr-FR" w:eastAsia="ro-RO"/>
              </w:rPr>
            </w:pPr>
            <w:r>
              <w:rPr>
                <w:rFonts w:eastAsia="Times New Roman"/>
                <w:lang w:val="fr-FR" w:eastAsia="ro-RO"/>
              </w:rPr>
              <w:t>6.322</w:t>
            </w:r>
          </w:p>
        </w:tc>
      </w:tr>
    </w:tbl>
    <w:p w:rsidR="00254E1F" w:rsidRPr="00254E1F" w:rsidRDefault="00254E1F" w:rsidP="00254E1F">
      <w:pPr>
        <w:spacing w:after="0" w:line="360" w:lineRule="auto"/>
        <w:ind w:left="0"/>
        <w:rPr>
          <w:rFonts w:eastAsia="Times New Roman" w:cs="Arial"/>
          <w:sz w:val="24"/>
          <w:szCs w:val="24"/>
          <w:lang w:val="ro-RO" w:eastAsia="ro-RO"/>
        </w:rPr>
      </w:pPr>
      <w:r w:rsidRPr="00254E1F">
        <w:rPr>
          <w:rFonts w:eastAsia="Times New Roman" w:cs="Arial"/>
          <w:sz w:val="24"/>
          <w:szCs w:val="24"/>
          <w:lang w:val="ro-RO" w:eastAsia="ro-RO"/>
        </w:rPr>
        <w:t xml:space="preserve"> </w:t>
      </w:r>
    </w:p>
    <w:p w:rsidR="00C147AD" w:rsidRPr="00C147AD" w:rsidRDefault="00C147AD" w:rsidP="00C147AD">
      <w:pPr>
        <w:spacing w:line="360" w:lineRule="auto"/>
        <w:ind w:left="567" w:firstLine="720"/>
        <w:rPr>
          <w:rFonts w:cs="Arial"/>
          <w:color w:val="000000"/>
          <w:sz w:val="24"/>
          <w:szCs w:val="24"/>
        </w:rPr>
      </w:pPr>
      <w:r w:rsidRPr="00C147AD">
        <w:rPr>
          <w:rFonts w:cs="Arial"/>
          <w:sz w:val="24"/>
          <w:szCs w:val="24"/>
        </w:rPr>
        <w:t xml:space="preserve">La sfârșitul lunii decembrie  2022, rata  șomajului  înregistrat în județul Argeș a fost  </w:t>
      </w:r>
      <w:r w:rsidRPr="00C147AD">
        <w:rPr>
          <w:rFonts w:cs="Arial"/>
          <w:b/>
          <w:sz w:val="24"/>
          <w:szCs w:val="24"/>
        </w:rPr>
        <w:t>3,58%,</w:t>
      </w:r>
      <w:r w:rsidRPr="00C147AD">
        <w:rPr>
          <w:rFonts w:cs="Arial"/>
          <w:sz w:val="24"/>
          <w:szCs w:val="24"/>
        </w:rPr>
        <w:t xml:space="preserve"> în creștere  cu 0,35 puncte procentuale față de luna decembrie </w:t>
      </w:r>
      <w:r w:rsidRPr="00C147AD">
        <w:rPr>
          <w:rFonts w:cs="Arial"/>
          <w:color w:val="000000"/>
          <w:sz w:val="24"/>
          <w:szCs w:val="24"/>
        </w:rPr>
        <w:t>2021.</w:t>
      </w:r>
    </w:p>
    <w:p w:rsidR="00C147AD" w:rsidRPr="00C147AD" w:rsidRDefault="00C147AD" w:rsidP="00C147AD">
      <w:pPr>
        <w:spacing w:line="360" w:lineRule="auto"/>
        <w:ind w:left="567" w:firstLine="720"/>
        <w:rPr>
          <w:rFonts w:cs="Arial"/>
          <w:color w:val="000000"/>
          <w:sz w:val="24"/>
          <w:szCs w:val="24"/>
        </w:rPr>
      </w:pPr>
      <w:r w:rsidRPr="00C147AD">
        <w:rPr>
          <w:rFonts w:cs="Arial"/>
          <w:sz w:val="24"/>
          <w:szCs w:val="24"/>
        </w:rPr>
        <w:t>Analiza situației beneficiarilor de drepturi conform Legii 76/2002 a arătat că, la finele anului, ponderea cea mai mare în totalul persoanelor înregistrate o dețin persoanele cu vârste cuprinse între 40 - 49 ani și 50-55 ani.</w:t>
      </w:r>
    </w:p>
    <w:p w:rsidR="00C147AD" w:rsidRPr="00BF1D1E" w:rsidRDefault="00C147AD" w:rsidP="00C147AD">
      <w:pPr>
        <w:spacing w:line="360" w:lineRule="auto"/>
        <w:ind w:left="567" w:firstLine="720"/>
        <w:rPr>
          <w:rFonts w:cs="Arial"/>
          <w:color w:val="000000"/>
        </w:rPr>
      </w:pPr>
      <w:r>
        <w:rPr>
          <w:noProof/>
        </w:rPr>
        <w:drawing>
          <wp:inline distT="0" distB="0" distL="0" distR="0" wp14:anchorId="79C7D5C8" wp14:editId="026149D4">
            <wp:extent cx="4114800" cy="2276475"/>
            <wp:effectExtent l="0" t="0" r="0" b="0"/>
            <wp:docPr id="230" name="Object 230" descr="Structura şomerilor pe categorii de vârstă" title="Structura şomerilor pe categorii de vârstă"/>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54E1F" w:rsidRPr="00254E1F" w:rsidRDefault="00254E1F" w:rsidP="00254E1F">
      <w:pPr>
        <w:spacing w:after="0" w:line="360" w:lineRule="auto"/>
        <w:ind w:left="567" w:firstLine="708"/>
        <w:rPr>
          <w:rFonts w:eastAsia="Times New Roman" w:cs="Arial"/>
          <w:sz w:val="24"/>
          <w:szCs w:val="24"/>
          <w:lang w:val="ro-RO" w:eastAsia="ro-RO"/>
        </w:rPr>
      </w:pPr>
      <w:r w:rsidRPr="00254E1F">
        <w:rPr>
          <w:rFonts w:eastAsia="Times New Roman" w:cs="Arial"/>
          <w:sz w:val="24"/>
          <w:szCs w:val="24"/>
          <w:lang w:val="ro-RO" w:eastAsia="ro-RO"/>
        </w:rPr>
        <w:t>Referitor la șomajul înregistrat pe sexe, ponderea femeilor în totalul șomerilor înregistrați</w:t>
      </w:r>
      <w:r w:rsidR="00D83949">
        <w:rPr>
          <w:rFonts w:eastAsia="Times New Roman" w:cs="Arial"/>
          <w:sz w:val="24"/>
          <w:szCs w:val="24"/>
          <w:lang w:val="ro-RO" w:eastAsia="ro-RO"/>
        </w:rPr>
        <w:t>,</w:t>
      </w:r>
      <w:r w:rsidRPr="00254E1F">
        <w:rPr>
          <w:rFonts w:eastAsia="Times New Roman" w:cs="Arial"/>
          <w:sz w:val="24"/>
          <w:szCs w:val="24"/>
          <w:lang w:val="ro-RO" w:eastAsia="ro-RO"/>
        </w:rPr>
        <w:t xml:space="preserve"> aflați în stoc la finele lunii </w:t>
      </w:r>
      <w:r w:rsidR="002349E4">
        <w:rPr>
          <w:rFonts w:eastAsia="Times New Roman" w:cs="Arial"/>
          <w:sz w:val="24"/>
          <w:szCs w:val="24"/>
          <w:lang w:val="ro-RO" w:eastAsia="ro-RO"/>
        </w:rPr>
        <w:t>dece</w:t>
      </w:r>
      <w:r w:rsidRPr="00254E1F">
        <w:rPr>
          <w:rFonts w:eastAsia="Times New Roman" w:cs="Arial"/>
          <w:sz w:val="24"/>
          <w:szCs w:val="24"/>
          <w:lang w:val="ro-RO" w:eastAsia="ro-RO"/>
        </w:rPr>
        <w:t>mbrie 20</w:t>
      </w:r>
      <w:r w:rsidR="0030593B">
        <w:rPr>
          <w:rFonts w:eastAsia="Times New Roman" w:cs="Arial"/>
          <w:sz w:val="24"/>
          <w:szCs w:val="24"/>
          <w:lang w:val="ro-RO" w:eastAsia="ro-RO"/>
        </w:rPr>
        <w:t>2</w:t>
      </w:r>
      <w:r w:rsidR="000E54D6">
        <w:rPr>
          <w:rFonts w:eastAsia="Times New Roman" w:cs="Arial"/>
          <w:sz w:val="24"/>
          <w:szCs w:val="24"/>
          <w:lang w:val="ro-RO" w:eastAsia="ro-RO"/>
        </w:rPr>
        <w:t>2</w:t>
      </w:r>
      <w:r w:rsidR="00D83949">
        <w:rPr>
          <w:rFonts w:eastAsia="Times New Roman" w:cs="Arial"/>
          <w:sz w:val="24"/>
          <w:szCs w:val="24"/>
          <w:lang w:val="ro-RO" w:eastAsia="ro-RO"/>
        </w:rPr>
        <w:t>,</w:t>
      </w:r>
      <w:r w:rsidRPr="00254E1F">
        <w:rPr>
          <w:rFonts w:eastAsia="Times New Roman" w:cs="Arial"/>
          <w:sz w:val="24"/>
          <w:szCs w:val="24"/>
          <w:lang w:val="ro-RO" w:eastAsia="ro-RO"/>
        </w:rPr>
        <w:t xml:space="preserve"> a fost de </w:t>
      </w:r>
      <w:r w:rsidR="00D83949">
        <w:rPr>
          <w:rFonts w:eastAsia="Times New Roman" w:cs="Arial"/>
          <w:sz w:val="24"/>
          <w:szCs w:val="24"/>
          <w:lang w:val="ro-RO" w:eastAsia="ro-RO"/>
        </w:rPr>
        <w:t>4</w:t>
      </w:r>
      <w:r w:rsidR="002349E4">
        <w:rPr>
          <w:rFonts w:eastAsia="Times New Roman" w:cs="Arial"/>
          <w:sz w:val="24"/>
          <w:szCs w:val="24"/>
          <w:lang w:val="ro-RO" w:eastAsia="ro-RO"/>
        </w:rPr>
        <w:t>7</w:t>
      </w:r>
      <w:r w:rsidRPr="00254E1F">
        <w:rPr>
          <w:rFonts w:eastAsia="Times New Roman" w:cs="Arial"/>
          <w:sz w:val="24"/>
          <w:szCs w:val="24"/>
          <w:lang w:val="ro-RO" w:eastAsia="ro-RO"/>
        </w:rPr>
        <w:t>,</w:t>
      </w:r>
      <w:r w:rsidR="002349E4">
        <w:rPr>
          <w:rFonts w:eastAsia="Times New Roman" w:cs="Arial"/>
          <w:sz w:val="24"/>
          <w:szCs w:val="24"/>
          <w:lang w:val="ro-RO" w:eastAsia="ro-RO"/>
        </w:rPr>
        <w:t>0</w:t>
      </w:r>
      <w:r w:rsidR="000E54D6">
        <w:rPr>
          <w:rFonts w:eastAsia="Times New Roman" w:cs="Arial"/>
          <w:sz w:val="24"/>
          <w:szCs w:val="24"/>
          <w:lang w:val="ro-RO" w:eastAsia="ro-RO"/>
        </w:rPr>
        <w:t>9</w:t>
      </w:r>
      <w:r w:rsidRPr="00254E1F">
        <w:rPr>
          <w:rFonts w:eastAsia="Times New Roman" w:cs="Arial"/>
          <w:sz w:val="24"/>
          <w:szCs w:val="24"/>
          <w:lang w:val="ro-RO" w:eastAsia="ro-RO"/>
        </w:rPr>
        <w:t xml:space="preserve"> p.p., în timp ce ponderea barbaților a fost de </w:t>
      </w:r>
      <w:r w:rsidR="00D83949">
        <w:rPr>
          <w:rFonts w:eastAsia="Times New Roman" w:cs="Arial"/>
          <w:sz w:val="24"/>
          <w:szCs w:val="24"/>
          <w:lang w:val="ro-RO" w:eastAsia="ro-RO"/>
        </w:rPr>
        <w:t>5</w:t>
      </w:r>
      <w:r w:rsidR="002349E4">
        <w:rPr>
          <w:rFonts w:eastAsia="Times New Roman" w:cs="Arial"/>
          <w:sz w:val="24"/>
          <w:szCs w:val="24"/>
          <w:lang w:val="ro-RO" w:eastAsia="ro-RO"/>
        </w:rPr>
        <w:t>2</w:t>
      </w:r>
      <w:r w:rsidRPr="00254E1F">
        <w:rPr>
          <w:rFonts w:eastAsia="Times New Roman" w:cs="Arial"/>
          <w:sz w:val="24"/>
          <w:szCs w:val="24"/>
          <w:lang w:val="ro-RO" w:eastAsia="ro-RO"/>
        </w:rPr>
        <w:t>,</w:t>
      </w:r>
      <w:r w:rsidR="002349E4">
        <w:rPr>
          <w:rFonts w:eastAsia="Times New Roman" w:cs="Arial"/>
          <w:sz w:val="24"/>
          <w:szCs w:val="24"/>
          <w:lang w:val="ro-RO" w:eastAsia="ro-RO"/>
        </w:rPr>
        <w:t>9</w:t>
      </w:r>
      <w:r w:rsidR="000E54D6">
        <w:rPr>
          <w:rFonts w:eastAsia="Times New Roman" w:cs="Arial"/>
          <w:sz w:val="24"/>
          <w:szCs w:val="24"/>
          <w:lang w:val="ro-RO" w:eastAsia="ro-RO"/>
        </w:rPr>
        <w:t>1</w:t>
      </w:r>
      <w:r w:rsidRPr="00254E1F">
        <w:rPr>
          <w:rFonts w:eastAsia="Times New Roman" w:cs="Arial"/>
          <w:sz w:val="24"/>
          <w:szCs w:val="24"/>
          <w:lang w:val="ro-RO" w:eastAsia="ro-RO"/>
        </w:rPr>
        <w:t xml:space="preserve"> p.p. </w:t>
      </w:r>
    </w:p>
    <w:p w:rsidR="00254E1F" w:rsidRPr="00AA2E80" w:rsidRDefault="00EC7B6D" w:rsidP="00254E1F">
      <w:pPr>
        <w:spacing w:after="0" w:line="360" w:lineRule="auto"/>
        <w:ind w:left="567" w:firstLine="708"/>
        <w:rPr>
          <w:rFonts w:eastAsia="Times New Roman" w:cs="Arial"/>
          <w:sz w:val="24"/>
          <w:szCs w:val="24"/>
          <w:lang w:val="ro-RO" w:eastAsia="ro-RO"/>
        </w:rPr>
      </w:pPr>
      <w:r w:rsidRPr="00AA2E80">
        <w:rPr>
          <w:sz w:val="24"/>
          <w:szCs w:val="24"/>
        </w:rPr>
        <w:t>În ceea ce privește mediul de rezidență, 6.</w:t>
      </w:r>
      <w:r w:rsidR="00B7246D">
        <w:rPr>
          <w:sz w:val="24"/>
          <w:szCs w:val="24"/>
        </w:rPr>
        <w:t>8</w:t>
      </w:r>
      <w:r w:rsidR="001B27DB">
        <w:rPr>
          <w:sz w:val="24"/>
          <w:szCs w:val="24"/>
        </w:rPr>
        <w:t>50</w:t>
      </w:r>
      <w:r w:rsidRPr="00AA2E80">
        <w:rPr>
          <w:sz w:val="24"/>
          <w:szCs w:val="24"/>
        </w:rPr>
        <w:t xml:space="preserve"> șomeri provin din mediul rural </w:t>
      </w:r>
      <w:r w:rsidRPr="00AA2E80">
        <w:rPr>
          <w:sz w:val="24"/>
          <w:szCs w:val="24"/>
          <w:lang w:val="ro-RO"/>
        </w:rPr>
        <w:t xml:space="preserve">și </w:t>
      </w:r>
      <w:r w:rsidR="00D83949">
        <w:rPr>
          <w:sz w:val="24"/>
          <w:szCs w:val="24"/>
          <w:lang w:val="ro-RO"/>
        </w:rPr>
        <w:t>1</w:t>
      </w:r>
      <w:r w:rsidRPr="00AA2E80">
        <w:rPr>
          <w:sz w:val="24"/>
          <w:szCs w:val="24"/>
          <w:lang w:val="ro-RO"/>
        </w:rPr>
        <w:t>.</w:t>
      </w:r>
      <w:r w:rsidR="00B7246D">
        <w:rPr>
          <w:sz w:val="24"/>
          <w:szCs w:val="24"/>
          <w:lang w:val="ro-RO"/>
        </w:rPr>
        <w:t>2</w:t>
      </w:r>
      <w:r w:rsidR="001B27DB">
        <w:rPr>
          <w:sz w:val="24"/>
          <w:szCs w:val="24"/>
          <w:lang w:val="ro-RO"/>
        </w:rPr>
        <w:t>64</w:t>
      </w:r>
      <w:r w:rsidRPr="00AA2E80">
        <w:rPr>
          <w:sz w:val="24"/>
          <w:szCs w:val="24"/>
          <w:lang w:val="ro-RO"/>
        </w:rPr>
        <w:t xml:space="preserve"> sunt din mediul urban.</w:t>
      </w:r>
    </w:p>
    <w:p w:rsidR="00254E1F" w:rsidRPr="00254E1F" w:rsidRDefault="00254E1F" w:rsidP="00254E1F">
      <w:pPr>
        <w:tabs>
          <w:tab w:val="left" w:pos="4230"/>
        </w:tabs>
        <w:spacing w:after="0" w:line="360" w:lineRule="auto"/>
        <w:ind w:left="567"/>
        <w:rPr>
          <w:rFonts w:eastAsia="Times New Roman" w:cs="Arial"/>
          <w:color w:val="000000"/>
          <w:sz w:val="24"/>
          <w:szCs w:val="24"/>
          <w:lang w:val="ro-RO" w:eastAsia="ro-RO"/>
        </w:rPr>
      </w:pPr>
      <w:r w:rsidRPr="00254E1F">
        <w:rPr>
          <w:rFonts w:eastAsia="Times New Roman" w:cs="Arial"/>
          <w:sz w:val="24"/>
          <w:szCs w:val="24"/>
          <w:lang w:val="ro-RO" w:eastAsia="ro-RO"/>
        </w:rPr>
        <w:lastRenderedPageBreak/>
        <w:t xml:space="preserve">          Referitor la structura șomerilor pe studii, la fin</w:t>
      </w:r>
      <w:r w:rsidR="00411AD2">
        <w:rPr>
          <w:rFonts w:eastAsia="Times New Roman" w:cs="Arial"/>
          <w:sz w:val="24"/>
          <w:szCs w:val="24"/>
          <w:lang w:val="ro-RO" w:eastAsia="ro-RO"/>
        </w:rPr>
        <w:t>ele anului</w:t>
      </w:r>
      <w:r w:rsidR="00D83949">
        <w:rPr>
          <w:rFonts w:eastAsia="Times New Roman" w:cs="Arial"/>
          <w:sz w:val="24"/>
          <w:szCs w:val="24"/>
          <w:lang w:val="ro-RO" w:eastAsia="ro-RO"/>
        </w:rPr>
        <w:t>,</w:t>
      </w:r>
      <w:r w:rsidRPr="00254E1F">
        <w:rPr>
          <w:rFonts w:eastAsia="Times New Roman" w:cs="Arial"/>
          <w:sz w:val="24"/>
          <w:szCs w:val="24"/>
          <w:lang w:val="ro-RO" w:eastAsia="ro-RO"/>
        </w:rPr>
        <w:t xml:space="preserve"> ș</w:t>
      </w:r>
      <w:r w:rsidRPr="00254E1F">
        <w:rPr>
          <w:rFonts w:eastAsia="Times New Roman" w:cs="Arial"/>
          <w:color w:val="000000"/>
          <w:sz w:val="24"/>
          <w:szCs w:val="24"/>
          <w:lang w:val="ro-RO" w:eastAsia="ro-RO"/>
        </w:rPr>
        <w:t>omerii cu studii gimnaziale aveau ponderea cea mai mare în totalul şomerilor înregistraţi în evidenţele AJOFM Argeș (</w:t>
      </w:r>
      <w:r w:rsidR="00D83949">
        <w:rPr>
          <w:rFonts w:eastAsia="Times New Roman" w:cs="Arial"/>
          <w:color w:val="000000"/>
          <w:sz w:val="24"/>
          <w:szCs w:val="24"/>
          <w:lang w:val="ro-RO" w:eastAsia="ro-RO"/>
        </w:rPr>
        <w:t>3</w:t>
      </w:r>
      <w:r w:rsidR="0008260E">
        <w:rPr>
          <w:rFonts w:eastAsia="Times New Roman" w:cs="Arial"/>
          <w:color w:val="000000"/>
          <w:sz w:val="24"/>
          <w:szCs w:val="24"/>
          <w:lang w:val="ro-RO" w:eastAsia="ro-RO"/>
        </w:rPr>
        <w:t>2</w:t>
      </w:r>
      <w:r w:rsidRPr="00254E1F">
        <w:rPr>
          <w:rFonts w:eastAsia="Times New Roman" w:cs="Arial"/>
          <w:color w:val="000000"/>
          <w:sz w:val="24"/>
          <w:szCs w:val="24"/>
          <w:lang w:val="ro-RO" w:eastAsia="ro-RO"/>
        </w:rPr>
        <w:t>,</w:t>
      </w:r>
      <w:r w:rsidR="001B27DB">
        <w:rPr>
          <w:rFonts w:eastAsia="Times New Roman" w:cs="Arial"/>
          <w:color w:val="000000"/>
          <w:sz w:val="24"/>
          <w:szCs w:val="24"/>
          <w:lang w:val="ro-RO" w:eastAsia="ro-RO"/>
        </w:rPr>
        <w:t>84</w:t>
      </w:r>
      <w:r w:rsidRPr="00254E1F">
        <w:rPr>
          <w:rFonts w:eastAsia="Times New Roman" w:cs="Arial"/>
          <w:color w:val="000000"/>
          <w:sz w:val="24"/>
          <w:szCs w:val="24"/>
          <w:lang w:val="ro-RO" w:eastAsia="ro-RO"/>
        </w:rPr>
        <w:t xml:space="preserve">%), urmați de cei </w:t>
      </w:r>
      <w:r w:rsidR="00986357" w:rsidRPr="00254E1F">
        <w:rPr>
          <w:rFonts w:eastAsia="Times New Roman" w:cs="Arial"/>
          <w:color w:val="000000"/>
          <w:sz w:val="24"/>
          <w:szCs w:val="24"/>
          <w:lang w:val="ro-RO" w:eastAsia="ro-RO"/>
        </w:rPr>
        <w:t xml:space="preserve">cu studii </w:t>
      </w:r>
      <w:r w:rsidR="00D83949">
        <w:rPr>
          <w:rFonts w:eastAsia="Times New Roman" w:cs="Arial"/>
          <w:color w:val="000000"/>
          <w:sz w:val="24"/>
          <w:szCs w:val="24"/>
          <w:lang w:val="ro-RO" w:eastAsia="ro-RO"/>
        </w:rPr>
        <w:t xml:space="preserve">primare </w:t>
      </w:r>
      <w:r w:rsidRPr="00254E1F">
        <w:rPr>
          <w:rFonts w:eastAsia="Times New Roman" w:cs="Arial"/>
          <w:color w:val="000000"/>
          <w:sz w:val="24"/>
          <w:szCs w:val="24"/>
          <w:lang w:val="ro-RO" w:eastAsia="ro-RO"/>
        </w:rPr>
        <w:t>(2</w:t>
      </w:r>
      <w:r w:rsidR="0008260E">
        <w:rPr>
          <w:rFonts w:eastAsia="Times New Roman" w:cs="Arial"/>
          <w:color w:val="000000"/>
          <w:sz w:val="24"/>
          <w:szCs w:val="24"/>
          <w:lang w:val="ro-RO" w:eastAsia="ro-RO"/>
        </w:rPr>
        <w:t>4</w:t>
      </w:r>
      <w:r w:rsidRPr="00254E1F">
        <w:rPr>
          <w:rFonts w:eastAsia="Times New Roman" w:cs="Arial"/>
          <w:color w:val="000000"/>
          <w:sz w:val="24"/>
          <w:szCs w:val="24"/>
          <w:lang w:val="ro-RO" w:eastAsia="ro-RO"/>
        </w:rPr>
        <w:t>,</w:t>
      </w:r>
      <w:r w:rsidR="001B27DB">
        <w:rPr>
          <w:rFonts w:eastAsia="Times New Roman" w:cs="Arial"/>
          <w:color w:val="000000"/>
          <w:sz w:val="24"/>
          <w:szCs w:val="24"/>
          <w:lang w:val="ro-RO" w:eastAsia="ro-RO"/>
        </w:rPr>
        <w:t>5</w:t>
      </w:r>
      <w:r w:rsidR="0008260E">
        <w:rPr>
          <w:rFonts w:eastAsia="Times New Roman" w:cs="Arial"/>
          <w:color w:val="000000"/>
          <w:sz w:val="24"/>
          <w:szCs w:val="24"/>
          <w:lang w:val="ro-RO" w:eastAsia="ro-RO"/>
        </w:rPr>
        <w:t>8</w:t>
      </w:r>
      <w:r w:rsidRPr="00254E1F">
        <w:rPr>
          <w:rFonts w:eastAsia="Times New Roman" w:cs="Arial"/>
          <w:color w:val="000000"/>
          <w:sz w:val="24"/>
          <w:szCs w:val="24"/>
          <w:lang w:val="ro-RO" w:eastAsia="ro-RO"/>
        </w:rPr>
        <w:t xml:space="preserve">%) și de cei </w:t>
      </w:r>
      <w:r w:rsidR="00986357" w:rsidRPr="00254E1F">
        <w:rPr>
          <w:rFonts w:eastAsia="Times New Roman" w:cs="Arial"/>
          <w:color w:val="000000"/>
          <w:sz w:val="24"/>
          <w:szCs w:val="24"/>
          <w:lang w:val="ro-RO" w:eastAsia="ro-RO"/>
        </w:rPr>
        <w:t xml:space="preserve">cu </w:t>
      </w:r>
      <w:r w:rsidR="00D83949">
        <w:rPr>
          <w:rFonts w:eastAsia="Times New Roman" w:cs="Arial"/>
          <w:color w:val="000000"/>
          <w:sz w:val="24"/>
          <w:szCs w:val="24"/>
          <w:lang w:val="ro-RO" w:eastAsia="ro-RO"/>
        </w:rPr>
        <w:t xml:space="preserve">studii </w:t>
      </w:r>
      <w:r w:rsidR="00D83949" w:rsidRPr="00254E1F">
        <w:rPr>
          <w:rFonts w:eastAsia="Times New Roman" w:cs="Arial"/>
          <w:color w:val="000000"/>
          <w:sz w:val="24"/>
          <w:szCs w:val="24"/>
          <w:lang w:val="ro-RO" w:eastAsia="ro-RO"/>
        </w:rPr>
        <w:t xml:space="preserve">liceale sau postliceale </w:t>
      </w:r>
      <w:r w:rsidR="001B27DB">
        <w:rPr>
          <w:rFonts w:eastAsia="Times New Roman" w:cs="Arial"/>
          <w:color w:val="000000"/>
          <w:sz w:val="24"/>
          <w:szCs w:val="24"/>
          <w:lang w:val="ro-RO" w:eastAsia="ro-RO"/>
        </w:rPr>
        <w:t>(</w:t>
      </w:r>
      <w:r w:rsidR="0008260E">
        <w:rPr>
          <w:rFonts w:eastAsia="Times New Roman" w:cs="Arial"/>
          <w:color w:val="000000"/>
          <w:sz w:val="24"/>
          <w:szCs w:val="24"/>
          <w:lang w:val="ro-RO" w:eastAsia="ro-RO"/>
        </w:rPr>
        <w:t>1</w:t>
      </w:r>
      <w:r w:rsidR="001B27DB">
        <w:rPr>
          <w:rFonts w:eastAsia="Times New Roman" w:cs="Arial"/>
          <w:color w:val="000000"/>
          <w:sz w:val="24"/>
          <w:szCs w:val="24"/>
          <w:lang w:val="ro-RO" w:eastAsia="ro-RO"/>
        </w:rPr>
        <w:t>8</w:t>
      </w:r>
      <w:r w:rsidRPr="00254E1F">
        <w:rPr>
          <w:rFonts w:eastAsia="Times New Roman" w:cs="Arial"/>
          <w:color w:val="000000"/>
          <w:sz w:val="24"/>
          <w:szCs w:val="24"/>
          <w:lang w:val="ro-RO" w:eastAsia="ro-RO"/>
        </w:rPr>
        <w:t>,</w:t>
      </w:r>
      <w:r w:rsidR="001B27DB">
        <w:rPr>
          <w:rFonts w:eastAsia="Times New Roman" w:cs="Arial"/>
          <w:color w:val="000000"/>
          <w:sz w:val="24"/>
          <w:szCs w:val="24"/>
          <w:lang w:val="ro-RO" w:eastAsia="ro-RO"/>
        </w:rPr>
        <w:t>5</w:t>
      </w:r>
      <w:r w:rsidRPr="00254E1F">
        <w:rPr>
          <w:rFonts w:eastAsia="Times New Roman" w:cs="Arial"/>
          <w:color w:val="000000"/>
          <w:sz w:val="24"/>
          <w:szCs w:val="24"/>
          <w:lang w:val="ro-RO" w:eastAsia="ro-RO"/>
        </w:rPr>
        <w:t>%</w:t>
      </w:r>
      <w:r w:rsidR="001B27DB">
        <w:rPr>
          <w:rFonts w:eastAsia="Times New Roman" w:cs="Arial"/>
          <w:color w:val="000000"/>
          <w:sz w:val="24"/>
          <w:szCs w:val="24"/>
          <w:lang w:val="ro-RO" w:eastAsia="ro-RO"/>
        </w:rPr>
        <w:t>)</w:t>
      </w:r>
      <w:r w:rsidRPr="00254E1F">
        <w:rPr>
          <w:rFonts w:eastAsia="Times New Roman" w:cs="Arial"/>
          <w:color w:val="000000"/>
          <w:sz w:val="24"/>
          <w:szCs w:val="24"/>
          <w:lang w:val="ro-RO" w:eastAsia="ro-RO"/>
        </w:rPr>
        <w:t>. Șomerii cu nivel de instruire profesional/arte și meserii reprezentau 1</w:t>
      </w:r>
      <w:r w:rsidR="001B27DB">
        <w:rPr>
          <w:rFonts w:eastAsia="Times New Roman" w:cs="Arial"/>
          <w:color w:val="000000"/>
          <w:sz w:val="24"/>
          <w:szCs w:val="24"/>
          <w:lang w:val="ro-RO" w:eastAsia="ro-RO"/>
        </w:rPr>
        <w:t>5</w:t>
      </w:r>
      <w:r w:rsidRPr="00254E1F">
        <w:rPr>
          <w:rFonts w:eastAsia="Times New Roman" w:cs="Arial"/>
          <w:color w:val="000000"/>
          <w:sz w:val="24"/>
          <w:szCs w:val="24"/>
          <w:lang w:val="ro-RO" w:eastAsia="ro-RO"/>
        </w:rPr>
        <w:t>,</w:t>
      </w:r>
      <w:r w:rsidR="001B27DB">
        <w:rPr>
          <w:rFonts w:eastAsia="Times New Roman" w:cs="Arial"/>
          <w:color w:val="000000"/>
          <w:sz w:val="24"/>
          <w:szCs w:val="24"/>
          <w:lang w:val="ro-RO" w:eastAsia="ro-RO"/>
        </w:rPr>
        <w:t>09</w:t>
      </w:r>
      <w:r w:rsidRPr="00254E1F">
        <w:rPr>
          <w:rFonts w:eastAsia="Times New Roman" w:cs="Arial"/>
          <w:color w:val="000000"/>
          <w:sz w:val="24"/>
          <w:szCs w:val="24"/>
          <w:lang w:val="ro-RO" w:eastAsia="ro-RO"/>
        </w:rPr>
        <w:t xml:space="preserve">% din totalul șomerilor înregistrați, iar cei cu studii superioare </w:t>
      </w:r>
      <w:r w:rsidR="001B27DB">
        <w:rPr>
          <w:rFonts w:eastAsia="Times New Roman" w:cs="Arial"/>
          <w:color w:val="000000"/>
          <w:sz w:val="24"/>
          <w:szCs w:val="24"/>
          <w:lang w:val="ro-RO" w:eastAsia="ro-RO"/>
        </w:rPr>
        <w:t>3</w:t>
      </w:r>
      <w:r w:rsidRPr="00254E1F">
        <w:rPr>
          <w:rFonts w:eastAsia="Times New Roman" w:cs="Arial"/>
          <w:color w:val="000000"/>
          <w:sz w:val="24"/>
          <w:szCs w:val="24"/>
          <w:lang w:val="ro-RO" w:eastAsia="ro-RO"/>
        </w:rPr>
        <w:t>,</w:t>
      </w:r>
      <w:r w:rsidR="001B27DB">
        <w:rPr>
          <w:rFonts w:eastAsia="Times New Roman" w:cs="Arial"/>
          <w:color w:val="000000"/>
          <w:sz w:val="24"/>
          <w:szCs w:val="24"/>
          <w:lang w:val="ro-RO" w:eastAsia="ro-RO"/>
        </w:rPr>
        <w:t>88</w:t>
      </w:r>
      <w:r w:rsidRPr="00254E1F">
        <w:rPr>
          <w:rFonts w:eastAsia="Times New Roman" w:cs="Arial"/>
          <w:color w:val="000000"/>
          <w:sz w:val="24"/>
          <w:szCs w:val="24"/>
          <w:lang w:val="ro-RO" w:eastAsia="ro-RO"/>
        </w:rPr>
        <w:t xml:space="preserve">%. Șomerii fără studii reprezentau </w:t>
      </w:r>
      <w:r w:rsidR="00D83949">
        <w:rPr>
          <w:rFonts w:eastAsia="Times New Roman" w:cs="Arial"/>
          <w:color w:val="000000"/>
          <w:sz w:val="24"/>
          <w:szCs w:val="24"/>
          <w:lang w:val="ro-RO" w:eastAsia="ro-RO"/>
        </w:rPr>
        <w:t>5</w:t>
      </w:r>
      <w:r w:rsidRPr="00254E1F">
        <w:rPr>
          <w:rFonts w:eastAsia="Times New Roman" w:cs="Arial"/>
          <w:color w:val="000000"/>
          <w:sz w:val="24"/>
          <w:szCs w:val="24"/>
          <w:lang w:val="ro-RO" w:eastAsia="ro-RO"/>
        </w:rPr>
        <w:t>,</w:t>
      </w:r>
      <w:r w:rsidR="001B27DB">
        <w:rPr>
          <w:rFonts w:eastAsia="Times New Roman" w:cs="Arial"/>
          <w:color w:val="000000"/>
          <w:sz w:val="24"/>
          <w:szCs w:val="24"/>
          <w:lang w:val="ro-RO" w:eastAsia="ro-RO"/>
        </w:rPr>
        <w:t>1</w:t>
      </w:r>
      <w:r w:rsidR="0008260E">
        <w:rPr>
          <w:rFonts w:eastAsia="Times New Roman" w:cs="Arial"/>
          <w:color w:val="000000"/>
          <w:sz w:val="24"/>
          <w:szCs w:val="24"/>
          <w:lang w:val="ro-RO" w:eastAsia="ro-RO"/>
        </w:rPr>
        <w:t>1</w:t>
      </w:r>
      <w:r w:rsidRPr="00254E1F">
        <w:rPr>
          <w:rFonts w:eastAsia="Times New Roman" w:cs="Arial"/>
          <w:color w:val="000000"/>
          <w:sz w:val="24"/>
          <w:szCs w:val="24"/>
          <w:lang w:val="ro-RO" w:eastAsia="ro-RO"/>
        </w:rPr>
        <w:t xml:space="preserve">% din totalul șomerilor înregistrați. </w:t>
      </w:r>
    </w:p>
    <w:p w:rsidR="00254E1F" w:rsidRPr="00254E1F" w:rsidRDefault="00254E1F" w:rsidP="00254E1F">
      <w:pPr>
        <w:spacing w:after="0" w:line="360" w:lineRule="auto"/>
        <w:ind w:left="567" w:firstLine="708"/>
        <w:rPr>
          <w:rFonts w:eastAsia="Times New Roman" w:cs="Arial"/>
          <w:sz w:val="24"/>
          <w:szCs w:val="24"/>
          <w:lang w:val="ro-RO" w:eastAsia="ro-RO"/>
        </w:rPr>
      </w:pPr>
      <w:r w:rsidRPr="00254E1F">
        <w:rPr>
          <w:rFonts w:eastAsia="Times New Roman" w:cs="Arial"/>
          <w:sz w:val="24"/>
          <w:szCs w:val="24"/>
          <w:lang w:val="ro-RO" w:eastAsia="ro-RO"/>
        </w:rPr>
        <w:t>În ceea ce privește șomajul de lungă durată, in anul 20</w:t>
      </w:r>
      <w:r w:rsidR="00986357">
        <w:rPr>
          <w:rFonts w:eastAsia="Times New Roman" w:cs="Arial"/>
          <w:sz w:val="24"/>
          <w:szCs w:val="24"/>
          <w:lang w:val="ro-RO" w:eastAsia="ro-RO"/>
        </w:rPr>
        <w:t>2</w:t>
      </w:r>
      <w:r w:rsidR="00B16850">
        <w:rPr>
          <w:rFonts w:eastAsia="Times New Roman" w:cs="Arial"/>
          <w:sz w:val="24"/>
          <w:szCs w:val="24"/>
          <w:lang w:val="ro-RO" w:eastAsia="ro-RO"/>
        </w:rPr>
        <w:t>2</w:t>
      </w:r>
      <w:r w:rsidRPr="00254E1F">
        <w:rPr>
          <w:rFonts w:eastAsia="Times New Roman" w:cs="Arial"/>
          <w:sz w:val="24"/>
          <w:szCs w:val="24"/>
          <w:lang w:val="ro-RO" w:eastAsia="ro-RO"/>
        </w:rPr>
        <w:t xml:space="preserve"> a avut loc o </w:t>
      </w:r>
      <w:r w:rsidR="00FA1B49">
        <w:rPr>
          <w:rFonts w:eastAsia="Times New Roman" w:cs="Arial"/>
          <w:sz w:val="24"/>
          <w:szCs w:val="24"/>
          <w:lang w:val="ro-RO" w:eastAsia="ro-RO"/>
        </w:rPr>
        <w:t xml:space="preserve">ușoară </w:t>
      </w:r>
      <w:r w:rsidR="00B16850">
        <w:rPr>
          <w:rFonts w:eastAsia="Times New Roman" w:cs="Arial"/>
          <w:sz w:val="24"/>
          <w:szCs w:val="24"/>
          <w:lang w:val="ro-RO" w:eastAsia="ro-RO"/>
        </w:rPr>
        <w:t>scădere</w:t>
      </w:r>
      <w:r w:rsidRPr="00254E1F">
        <w:rPr>
          <w:rFonts w:eastAsia="Times New Roman" w:cs="Arial"/>
          <w:sz w:val="24"/>
          <w:szCs w:val="24"/>
          <w:lang w:val="ro-RO" w:eastAsia="ro-RO"/>
        </w:rPr>
        <w:t xml:space="preserve"> față de anul precedent. Astfel, la </w:t>
      </w:r>
      <w:r w:rsidR="001B27DB">
        <w:rPr>
          <w:rFonts w:eastAsia="Times New Roman" w:cs="Arial"/>
          <w:sz w:val="24"/>
          <w:szCs w:val="24"/>
          <w:lang w:val="ro-RO" w:eastAsia="ro-RO"/>
        </w:rPr>
        <w:t>finele anului</w:t>
      </w:r>
      <w:r w:rsidRPr="00254E1F">
        <w:rPr>
          <w:rFonts w:eastAsia="Times New Roman" w:cs="Arial"/>
          <w:sz w:val="24"/>
          <w:szCs w:val="24"/>
          <w:lang w:val="ro-RO" w:eastAsia="ro-RO"/>
        </w:rPr>
        <w:t xml:space="preserve"> 20</w:t>
      </w:r>
      <w:r w:rsidR="00986357">
        <w:rPr>
          <w:rFonts w:eastAsia="Times New Roman" w:cs="Arial"/>
          <w:sz w:val="24"/>
          <w:szCs w:val="24"/>
          <w:lang w:val="ro-RO" w:eastAsia="ro-RO"/>
        </w:rPr>
        <w:t>2</w:t>
      </w:r>
      <w:r w:rsidR="00B16850">
        <w:rPr>
          <w:rFonts w:eastAsia="Times New Roman" w:cs="Arial"/>
          <w:sz w:val="24"/>
          <w:szCs w:val="24"/>
          <w:lang w:val="ro-RO" w:eastAsia="ro-RO"/>
        </w:rPr>
        <w:t>2</w:t>
      </w:r>
      <w:r w:rsidRPr="00254E1F">
        <w:rPr>
          <w:rFonts w:eastAsia="Times New Roman" w:cs="Arial"/>
          <w:sz w:val="24"/>
          <w:szCs w:val="24"/>
          <w:lang w:val="ro-RO" w:eastAsia="ro-RO"/>
        </w:rPr>
        <w:t xml:space="preserve"> se aflau în evidența agenției 3.</w:t>
      </w:r>
      <w:r w:rsidR="001B27DB">
        <w:rPr>
          <w:rFonts w:eastAsia="Times New Roman" w:cs="Arial"/>
          <w:sz w:val="24"/>
          <w:szCs w:val="24"/>
          <w:lang w:val="ro-RO" w:eastAsia="ro-RO"/>
        </w:rPr>
        <w:t>746</w:t>
      </w:r>
      <w:r w:rsidRPr="00254E1F">
        <w:rPr>
          <w:rFonts w:eastAsia="Times New Roman" w:cs="Arial"/>
          <w:sz w:val="24"/>
          <w:szCs w:val="24"/>
          <w:lang w:val="ro-RO" w:eastAsia="ro-RO"/>
        </w:rPr>
        <w:t xml:space="preserve"> șomeri de lungă durată, cu </w:t>
      </w:r>
      <w:r w:rsidR="001B27DB">
        <w:rPr>
          <w:rFonts w:eastAsia="Times New Roman" w:cs="Arial"/>
          <w:sz w:val="24"/>
          <w:szCs w:val="24"/>
          <w:lang w:val="ro-RO" w:eastAsia="ro-RO"/>
        </w:rPr>
        <w:t>5</w:t>
      </w:r>
      <w:r w:rsidRPr="00254E1F">
        <w:rPr>
          <w:rFonts w:eastAsia="Times New Roman" w:cs="Arial"/>
          <w:sz w:val="24"/>
          <w:szCs w:val="24"/>
          <w:lang w:val="ro-RO" w:eastAsia="ro-RO"/>
        </w:rPr>
        <w:t>,</w:t>
      </w:r>
      <w:r w:rsidR="001B27DB">
        <w:rPr>
          <w:rFonts w:eastAsia="Times New Roman" w:cs="Arial"/>
          <w:sz w:val="24"/>
          <w:szCs w:val="24"/>
          <w:lang w:val="ro-RO" w:eastAsia="ro-RO"/>
        </w:rPr>
        <w:t>09</w:t>
      </w:r>
      <w:r w:rsidRPr="00254E1F">
        <w:rPr>
          <w:rFonts w:eastAsia="Times New Roman" w:cs="Arial"/>
          <w:sz w:val="24"/>
          <w:szCs w:val="24"/>
          <w:lang w:val="ro-RO" w:eastAsia="ro-RO"/>
        </w:rPr>
        <w:t xml:space="preserve"> p.p. mai </w:t>
      </w:r>
      <w:r w:rsidR="00B16850">
        <w:rPr>
          <w:rFonts w:eastAsia="Times New Roman" w:cs="Arial"/>
          <w:sz w:val="24"/>
          <w:szCs w:val="24"/>
          <w:lang w:val="ro-RO" w:eastAsia="ro-RO"/>
        </w:rPr>
        <w:t>puțin</w:t>
      </w:r>
      <w:r w:rsidRPr="00254E1F">
        <w:rPr>
          <w:rFonts w:eastAsia="Times New Roman" w:cs="Arial"/>
          <w:sz w:val="24"/>
          <w:szCs w:val="24"/>
          <w:lang w:val="ro-RO" w:eastAsia="ro-RO"/>
        </w:rPr>
        <w:t xml:space="preserve"> față de aceeași perioadă a anului precedent. </w:t>
      </w:r>
    </w:p>
    <w:p w:rsidR="00254E1F" w:rsidRDefault="00254E1F" w:rsidP="00254E1F">
      <w:pPr>
        <w:spacing w:after="0" w:line="360" w:lineRule="auto"/>
        <w:ind w:left="567" w:firstLine="708"/>
        <w:rPr>
          <w:rFonts w:ascii="Times New Roman" w:eastAsia="Times New Roman" w:hAnsi="Times New Roman" w:cs="Arial"/>
          <w:color w:val="000000"/>
          <w:sz w:val="24"/>
          <w:szCs w:val="24"/>
          <w:lang w:val="ro-RO" w:eastAsia="ro-RO"/>
        </w:rPr>
      </w:pPr>
      <w:r w:rsidRPr="00254E1F">
        <w:rPr>
          <w:rFonts w:eastAsia="Times New Roman" w:cs="Arial"/>
          <w:sz w:val="24"/>
          <w:szCs w:val="24"/>
          <w:lang w:val="ro-RO" w:eastAsia="ro-RO"/>
        </w:rPr>
        <w:t xml:space="preserve">Structura șomerilor înregistrați pe nivel de ocupabilitate, stabilit prin profilare, la finele lunii </w:t>
      </w:r>
      <w:r w:rsidR="001B27DB">
        <w:rPr>
          <w:rFonts w:eastAsia="Times New Roman" w:cs="Arial"/>
          <w:sz w:val="24"/>
          <w:szCs w:val="24"/>
          <w:lang w:val="ro-RO" w:eastAsia="ro-RO"/>
        </w:rPr>
        <w:t>decembrie</w:t>
      </w:r>
      <w:r w:rsidRPr="00254E1F">
        <w:rPr>
          <w:rFonts w:eastAsia="Times New Roman" w:cs="Arial"/>
          <w:sz w:val="24"/>
          <w:szCs w:val="24"/>
          <w:lang w:val="ro-RO" w:eastAsia="ro-RO"/>
        </w:rPr>
        <w:t xml:space="preserve"> se prezintă astfel</w:t>
      </w:r>
      <w:r w:rsidRPr="00254E1F">
        <w:rPr>
          <w:rFonts w:ascii="Times New Roman" w:eastAsia="Times New Roman" w:hAnsi="Times New Roman" w:cs="Arial"/>
          <w:color w:val="000000"/>
          <w:sz w:val="24"/>
          <w:szCs w:val="24"/>
          <w:lang w:val="ro-RO" w:eastAsia="ro-RO"/>
        </w:rPr>
        <w:t>: 2</w:t>
      </w:r>
      <w:r w:rsidRPr="00254E1F">
        <w:rPr>
          <w:rFonts w:eastAsia="Times New Roman" w:cs="Arial"/>
          <w:color w:val="000000"/>
          <w:sz w:val="24"/>
          <w:szCs w:val="24"/>
          <w:lang w:val="ro-RO" w:eastAsia="ro-RO"/>
        </w:rPr>
        <w:t>.</w:t>
      </w:r>
      <w:r w:rsidR="00B16850">
        <w:rPr>
          <w:rFonts w:eastAsia="Times New Roman" w:cs="Arial"/>
          <w:color w:val="000000"/>
          <w:sz w:val="24"/>
          <w:szCs w:val="24"/>
          <w:lang w:val="ro-RO" w:eastAsia="ro-RO"/>
        </w:rPr>
        <w:t>3</w:t>
      </w:r>
      <w:r w:rsidR="001B27DB">
        <w:rPr>
          <w:rFonts w:eastAsia="Times New Roman" w:cs="Arial"/>
          <w:color w:val="000000"/>
          <w:sz w:val="24"/>
          <w:szCs w:val="24"/>
          <w:lang w:val="ro-RO" w:eastAsia="ro-RO"/>
        </w:rPr>
        <w:t>5</w:t>
      </w:r>
      <w:r w:rsidR="00B16850">
        <w:rPr>
          <w:rFonts w:eastAsia="Times New Roman" w:cs="Arial"/>
          <w:color w:val="000000"/>
          <w:sz w:val="24"/>
          <w:szCs w:val="24"/>
          <w:lang w:val="ro-RO" w:eastAsia="ro-RO"/>
        </w:rPr>
        <w:t>4</w:t>
      </w:r>
      <w:r w:rsidRPr="00254E1F">
        <w:rPr>
          <w:rFonts w:eastAsia="Times New Roman" w:cs="Arial"/>
          <w:color w:val="000000"/>
          <w:sz w:val="24"/>
          <w:szCs w:val="24"/>
          <w:lang w:val="ro-RO" w:eastAsia="ro-RO"/>
        </w:rPr>
        <w:t xml:space="preserve"> persoane foarte greu ocupabile, </w:t>
      </w:r>
      <w:r w:rsidR="00FA1B49">
        <w:rPr>
          <w:rFonts w:eastAsia="Times New Roman" w:cs="Arial"/>
          <w:color w:val="000000"/>
          <w:sz w:val="24"/>
          <w:szCs w:val="24"/>
          <w:lang w:val="ro-RO" w:eastAsia="ro-RO"/>
        </w:rPr>
        <w:t>2</w:t>
      </w:r>
      <w:r w:rsidRPr="00254E1F">
        <w:rPr>
          <w:rFonts w:eastAsia="Times New Roman" w:cs="Arial"/>
          <w:color w:val="000000"/>
          <w:sz w:val="24"/>
          <w:szCs w:val="24"/>
          <w:lang w:val="ro-RO" w:eastAsia="ro-RO"/>
        </w:rPr>
        <w:t>.</w:t>
      </w:r>
      <w:r w:rsidR="001B27DB">
        <w:rPr>
          <w:rFonts w:eastAsia="Times New Roman" w:cs="Arial"/>
          <w:color w:val="000000"/>
          <w:sz w:val="24"/>
          <w:szCs w:val="24"/>
          <w:lang w:val="ro-RO" w:eastAsia="ro-RO"/>
        </w:rPr>
        <w:t>911</w:t>
      </w:r>
      <w:r w:rsidRPr="00254E1F">
        <w:rPr>
          <w:rFonts w:eastAsia="Times New Roman" w:cs="Arial"/>
          <w:color w:val="000000"/>
          <w:sz w:val="24"/>
          <w:szCs w:val="24"/>
          <w:lang w:val="ro-RO" w:eastAsia="ro-RO"/>
        </w:rPr>
        <w:t xml:space="preserve"> greu ocupabile, </w:t>
      </w:r>
      <w:r w:rsidR="001B27DB">
        <w:rPr>
          <w:rFonts w:eastAsia="Times New Roman" w:cs="Arial"/>
          <w:color w:val="000000"/>
          <w:sz w:val="24"/>
          <w:szCs w:val="24"/>
          <w:lang w:val="ro-RO" w:eastAsia="ro-RO"/>
        </w:rPr>
        <w:t>2</w:t>
      </w:r>
      <w:r w:rsidR="00986357">
        <w:rPr>
          <w:rFonts w:eastAsia="Times New Roman" w:cs="Arial"/>
          <w:color w:val="000000"/>
          <w:sz w:val="24"/>
          <w:szCs w:val="24"/>
          <w:lang w:val="ro-RO" w:eastAsia="ro-RO"/>
        </w:rPr>
        <w:t>.</w:t>
      </w:r>
      <w:r w:rsidR="001B27DB">
        <w:rPr>
          <w:rFonts w:eastAsia="Times New Roman" w:cs="Arial"/>
          <w:color w:val="000000"/>
          <w:sz w:val="24"/>
          <w:szCs w:val="24"/>
          <w:lang w:val="ro-RO" w:eastAsia="ro-RO"/>
        </w:rPr>
        <w:t>002</w:t>
      </w:r>
      <w:r w:rsidRPr="00254E1F">
        <w:rPr>
          <w:rFonts w:eastAsia="Times New Roman" w:cs="Arial"/>
          <w:color w:val="000000"/>
          <w:sz w:val="24"/>
          <w:szCs w:val="24"/>
          <w:lang w:val="ro-RO" w:eastAsia="ro-RO"/>
        </w:rPr>
        <w:t xml:space="preserve"> mediu ocupabile și </w:t>
      </w:r>
      <w:r w:rsidR="001B27DB">
        <w:rPr>
          <w:rFonts w:eastAsia="Times New Roman" w:cs="Arial"/>
          <w:color w:val="000000"/>
          <w:sz w:val="24"/>
          <w:szCs w:val="24"/>
          <w:lang w:val="ro-RO" w:eastAsia="ro-RO"/>
        </w:rPr>
        <w:t>847</w:t>
      </w:r>
      <w:r w:rsidRPr="00254E1F">
        <w:rPr>
          <w:rFonts w:eastAsia="Times New Roman" w:cs="Arial"/>
          <w:color w:val="000000"/>
          <w:sz w:val="24"/>
          <w:szCs w:val="24"/>
          <w:lang w:val="ro-RO" w:eastAsia="ro-RO"/>
        </w:rPr>
        <w:t xml:space="preserve"> persoane ușor ocupabile.</w:t>
      </w:r>
      <w:r w:rsidRPr="00254E1F">
        <w:rPr>
          <w:rFonts w:ascii="Times New Roman" w:eastAsia="Times New Roman" w:hAnsi="Times New Roman" w:cs="Arial"/>
          <w:color w:val="000000"/>
          <w:sz w:val="24"/>
          <w:szCs w:val="24"/>
          <w:lang w:val="ro-RO" w:eastAsia="ro-RO"/>
        </w:rPr>
        <w:t xml:space="preserve"> </w:t>
      </w:r>
    </w:p>
    <w:p w:rsidR="00930565" w:rsidRPr="00930565" w:rsidRDefault="00930565" w:rsidP="00A83553">
      <w:pPr>
        <w:spacing w:after="0" w:line="360" w:lineRule="auto"/>
        <w:ind w:left="567" w:firstLine="708"/>
        <w:rPr>
          <w:rFonts w:eastAsia="Times New Roman" w:cs="Arial"/>
          <w:color w:val="000000"/>
          <w:sz w:val="24"/>
          <w:szCs w:val="24"/>
          <w:lang w:val="ro-RO" w:eastAsia="ro-RO"/>
        </w:rPr>
      </w:pPr>
      <w:r>
        <w:rPr>
          <w:rFonts w:eastAsia="Times New Roman" w:cs="Arial"/>
          <w:color w:val="000000"/>
          <w:sz w:val="24"/>
          <w:szCs w:val="24"/>
          <w:lang w:val="ro-RO" w:eastAsia="ro-RO"/>
        </w:rPr>
        <w:t>Din analiza comparativ</w:t>
      </w:r>
      <w:r w:rsidR="00AA2E80">
        <w:rPr>
          <w:rFonts w:eastAsia="Times New Roman" w:cs="Arial"/>
          <w:color w:val="000000"/>
          <w:sz w:val="24"/>
          <w:szCs w:val="24"/>
          <w:lang w:val="ro-RO" w:eastAsia="ro-RO"/>
        </w:rPr>
        <w:t>ă</w:t>
      </w:r>
      <w:r>
        <w:rPr>
          <w:rFonts w:eastAsia="Times New Roman" w:cs="Arial"/>
          <w:color w:val="000000"/>
          <w:sz w:val="24"/>
          <w:szCs w:val="24"/>
          <w:lang w:val="ro-RO" w:eastAsia="ro-RO"/>
        </w:rPr>
        <w:t xml:space="preserve"> a datelor privind </w:t>
      </w:r>
      <w:r w:rsidR="00AA2E80">
        <w:rPr>
          <w:rFonts w:eastAsia="Times New Roman" w:cs="Arial"/>
          <w:color w:val="000000"/>
          <w:sz w:val="24"/>
          <w:szCs w:val="24"/>
          <w:lang w:val="ro-RO" w:eastAsia="ro-RO"/>
        </w:rPr>
        <w:t>î</w:t>
      </w:r>
      <w:r>
        <w:rPr>
          <w:rFonts w:eastAsia="Times New Roman" w:cs="Arial"/>
          <w:color w:val="000000"/>
          <w:sz w:val="24"/>
          <w:szCs w:val="24"/>
          <w:lang w:val="ro-RO" w:eastAsia="ro-RO"/>
        </w:rPr>
        <w:t xml:space="preserve">nscrierile noi </w:t>
      </w:r>
      <w:r w:rsidR="00AA2E80">
        <w:rPr>
          <w:rFonts w:eastAsia="Times New Roman" w:cs="Arial"/>
          <w:color w:val="000000"/>
          <w:sz w:val="24"/>
          <w:szCs w:val="24"/>
          <w:lang w:val="ro-RO" w:eastAsia="ro-RO"/>
        </w:rPr>
        <w:t>î</w:t>
      </w:r>
      <w:r>
        <w:rPr>
          <w:rFonts w:eastAsia="Times New Roman" w:cs="Arial"/>
          <w:color w:val="000000"/>
          <w:sz w:val="24"/>
          <w:szCs w:val="24"/>
          <w:lang w:val="ro-RO" w:eastAsia="ro-RO"/>
        </w:rPr>
        <w:t>n eviden</w:t>
      </w:r>
      <w:r w:rsidR="00AA2E80">
        <w:rPr>
          <w:rFonts w:eastAsia="Times New Roman" w:cs="Arial"/>
          <w:color w:val="000000"/>
          <w:sz w:val="24"/>
          <w:szCs w:val="24"/>
          <w:lang w:val="ro-RO" w:eastAsia="ro-RO"/>
        </w:rPr>
        <w:t>ț</w:t>
      </w:r>
      <w:r>
        <w:rPr>
          <w:rFonts w:eastAsia="Times New Roman" w:cs="Arial"/>
          <w:color w:val="000000"/>
          <w:sz w:val="24"/>
          <w:szCs w:val="24"/>
          <w:lang w:val="ro-RO" w:eastAsia="ro-RO"/>
        </w:rPr>
        <w:t>a agen</w:t>
      </w:r>
      <w:r w:rsidR="00AA2E80">
        <w:rPr>
          <w:rFonts w:eastAsia="Times New Roman" w:cs="Arial"/>
          <w:color w:val="000000"/>
          <w:sz w:val="24"/>
          <w:szCs w:val="24"/>
          <w:lang w:val="ro-RO" w:eastAsia="ro-RO"/>
        </w:rPr>
        <w:t>ț</w:t>
      </w:r>
      <w:r>
        <w:rPr>
          <w:rFonts w:eastAsia="Times New Roman" w:cs="Arial"/>
          <w:color w:val="000000"/>
          <w:sz w:val="24"/>
          <w:szCs w:val="24"/>
          <w:lang w:val="ro-RO" w:eastAsia="ro-RO"/>
        </w:rPr>
        <w:t>iei, pentru perioada ianuarie-</w:t>
      </w:r>
      <w:r w:rsidR="00C147AD">
        <w:rPr>
          <w:rFonts w:eastAsia="Times New Roman" w:cs="Arial"/>
          <w:color w:val="000000"/>
          <w:sz w:val="24"/>
          <w:szCs w:val="24"/>
          <w:lang w:val="ro-RO" w:eastAsia="ro-RO"/>
        </w:rPr>
        <w:t>dece</w:t>
      </w:r>
      <w:r>
        <w:rPr>
          <w:rFonts w:eastAsia="Times New Roman" w:cs="Arial"/>
          <w:color w:val="000000"/>
          <w:sz w:val="24"/>
          <w:szCs w:val="24"/>
          <w:lang w:val="ro-RO" w:eastAsia="ro-RO"/>
        </w:rPr>
        <w:t>mbrie 20</w:t>
      </w:r>
      <w:r w:rsidR="002E55E6">
        <w:rPr>
          <w:rFonts w:eastAsia="Times New Roman" w:cs="Arial"/>
          <w:color w:val="000000"/>
          <w:sz w:val="24"/>
          <w:szCs w:val="24"/>
          <w:lang w:val="ro-RO" w:eastAsia="ro-RO"/>
        </w:rPr>
        <w:t>2</w:t>
      </w:r>
      <w:r w:rsidR="00B16850">
        <w:rPr>
          <w:rFonts w:eastAsia="Times New Roman" w:cs="Arial"/>
          <w:color w:val="000000"/>
          <w:sz w:val="24"/>
          <w:szCs w:val="24"/>
          <w:lang w:val="ro-RO" w:eastAsia="ro-RO"/>
        </w:rPr>
        <w:t>1</w:t>
      </w:r>
      <w:r>
        <w:rPr>
          <w:rFonts w:eastAsia="Times New Roman" w:cs="Arial"/>
          <w:color w:val="000000"/>
          <w:sz w:val="24"/>
          <w:szCs w:val="24"/>
          <w:lang w:val="ro-RO" w:eastAsia="ro-RO"/>
        </w:rPr>
        <w:t xml:space="preserve"> </w:t>
      </w:r>
      <w:r w:rsidR="00AA2E80">
        <w:rPr>
          <w:rFonts w:eastAsia="Times New Roman" w:cs="Arial"/>
          <w:color w:val="000000"/>
          <w:sz w:val="24"/>
          <w:szCs w:val="24"/>
          <w:lang w:val="ro-RO" w:eastAsia="ro-RO"/>
        </w:rPr>
        <w:t>ș</w:t>
      </w:r>
      <w:r>
        <w:rPr>
          <w:rFonts w:eastAsia="Times New Roman" w:cs="Arial"/>
          <w:color w:val="000000"/>
          <w:sz w:val="24"/>
          <w:szCs w:val="24"/>
          <w:lang w:val="ro-RO" w:eastAsia="ro-RO"/>
        </w:rPr>
        <w:t>i 202</w:t>
      </w:r>
      <w:r w:rsidR="00B16850">
        <w:rPr>
          <w:rFonts w:eastAsia="Times New Roman" w:cs="Arial"/>
          <w:color w:val="000000"/>
          <w:sz w:val="24"/>
          <w:szCs w:val="24"/>
          <w:lang w:val="ro-RO" w:eastAsia="ro-RO"/>
        </w:rPr>
        <w:t>2</w:t>
      </w:r>
      <w:r>
        <w:rPr>
          <w:rFonts w:eastAsia="Times New Roman" w:cs="Arial"/>
          <w:color w:val="000000"/>
          <w:sz w:val="24"/>
          <w:szCs w:val="24"/>
          <w:lang w:val="ro-RO" w:eastAsia="ro-RO"/>
        </w:rPr>
        <w:t xml:space="preserve">, </w:t>
      </w:r>
      <w:r w:rsidR="00AA2E80">
        <w:rPr>
          <w:rFonts w:eastAsia="Times New Roman" w:cs="Arial"/>
          <w:color w:val="000000"/>
          <w:sz w:val="24"/>
          <w:szCs w:val="24"/>
          <w:lang w:val="ro-RO" w:eastAsia="ro-RO"/>
        </w:rPr>
        <w:t>î</w:t>
      </w:r>
      <w:r>
        <w:rPr>
          <w:rFonts w:eastAsia="Times New Roman" w:cs="Arial"/>
          <w:color w:val="000000"/>
          <w:sz w:val="24"/>
          <w:szCs w:val="24"/>
          <w:lang w:val="ro-RO" w:eastAsia="ro-RO"/>
        </w:rPr>
        <w:t>n acest an se constat</w:t>
      </w:r>
      <w:r w:rsidR="00AA2E80">
        <w:rPr>
          <w:rFonts w:eastAsia="Times New Roman" w:cs="Arial"/>
          <w:color w:val="000000"/>
          <w:sz w:val="24"/>
          <w:szCs w:val="24"/>
          <w:lang w:val="ro-RO" w:eastAsia="ro-RO"/>
        </w:rPr>
        <w:t>ă</w:t>
      </w:r>
      <w:r>
        <w:rPr>
          <w:rFonts w:eastAsia="Times New Roman" w:cs="Arial"/>
          <w:color w:val="000000"/>
          <w:sz w:val="24"/>
          <w:szCs w:val="24"/>
          <w:lang w:val="ro-RO" w:eastAsia="ro-RO"/>
        </w:rPr>
        <w:t xml:space="preserve"> o </w:t>
      </w:r>
      <w:r w:rsidR="002E55E6">
        <w:rPr>
          <w:rFonts w:eastAsia="Times New Roman" w:cs="Arial"/>
          <w:color w:val="000000"/>
          <w:sz w:val="24"/>
          <w:szCs w:val="24"/>
          <w:lang w:val="ro-RO" w:eastAsia="ro-RO"/>
        </w:rPr>
        <w:t>scădere</w:t>
      </w:r>
      <w:r>
        <w:rPr>
          <w:rFonts w:eastAsia="Times New Roman" w:cs="Arial"/>
          <w:color w:val="000000"/>
          <w:sz w:val="24"/>
          <w:szCs w:val="24"/>
          <w:lang w:val="ro-RO" w:eastAsia="ro-RO"/>
        </w:rPr>
        <w:t xml:space="preserve"> la categoria persoanelor beneficiare de indemniza</w:t>
      </w:r>
      <w:r w:rsidR="00AA2E80">
        <w:rPr>
          <w:rFonts w:eastAsia="Times New Roman" w:cs="Arial"/>
          <w:color w:val="000000"/>
          <w:sz w:val="24"/>
          <w:szCs w:val="24"/>
          <w:lang w:val="ro-RO" w:eastAsia="ro-RO"/>
        </w:rPr>
        <w:t>ț</w:t>
      </w:r>
      <w:r>
        <w:rPr>
          <w:rFonts w:eastAsia="Times New Roman" w:cs="Arial"/>
          <w:color w:val="000000"/>
          <w:sz w:val="24"/>
          <w:szCs w:val="24"/>
          <w:lang w:val="ro-RO" w:eastAsia="ro-RO"/>
        </w:rPr>
        <w:t xml:space="preserve">ie de </w:t>
      </w:r>
      <w:r w:rsidR="00AA2E80">
        <w:rPr>
          <w:rFonts w:eastAsia="Times New Roman" w:cs="Arial"/>
          <w:color w:val="000000"/>
          <w:sz w:val="24"/>
          <w:szCs w:val="24"/>
          <w:lang w:val="ro-RO" w:eastAsia="ro-RO"/>
        </w:rPr>
        <w:t>ș</w:t>
      </w:r>
      <w:r>
        <w:rPr>
          <w:rFonts w:eastAsia="Times New Roman" w:cs="Arial"/>
          <w:color w:val="000000"/>
          <w:sz w:val="24"/>
          <w:szCs w:val="24"/>
          <w:lang w:val="ro-RO" w:eastAsia="ro-RO"/>
        </w:rPr>
        <w:t>omaj (</w:t>
      </w:r>
      <w:r w:rsidR="002E55E6">
        <w:rPr>
          <w:rFonts w:eastAsia="Times New Roman" w:cs="Arial"/>
          <w:color w:val="000000"/>
          <w:sz w:val="24"/>
          <w:szCs w:val="24"/>
          <w:lang w:val="ro-RO" w:eastAsia="ro-RO"/>
        </w:rPr>
        <w:t>-</w:t>
      </w:r>
      <w:r w:rsidR="00B16850">
        <w:rPr>
          <w:rFonts w:eastAsia="Times New Roman" w:cs="Arial"/>
          <w:color w:val="000000"/>
          <w:sz w:val="24"/>
          <w:szCs w:val="24"/>
          <w:lang w:val="ro-RO" w:eastAsia="ro-RO"/>
        </w:rPr>
        <w:t>1</w:t>
      </w:r>
      <w:r w:rsidR="00A83553">
        <w:rPr>
          <w:rFonts w:eastAsia="Times New Roman" w:cs="Arial"/>
          <w:color w:val="000000"/>
          <w:sz w:val="24"/>
          <w:szCs w:val="24"/>
          <w:lang w:val="ro-RO" w:eastAsia="ro-RO"/>
        </w:rPr>
        <w:t>4</w:t>
      </w:r>
      <w:r w:rsidR="00B16850">
        <w:rPr>
          <w:rFonts w:eastAsia="Times New Roman" w:cs="Arial"/>
          <w:color w:val="000000"/>
          <w:sz w:val="24"/>
          <w:szCs w:val="24"/>
          <w:lang w:val="ro-RO" w:eastAsia="ro-RO"/>
        </w:rPr>
        <w:t>,</w:t>
      </w:r>
      <w:r w:rsidR="00A83553">
        <w:rPr>
          <w:rFonts w:eastAsia="Times New Roman" w:cs="Arial"/>
          <w:color w:val="000000"/>
          <w:sz w:val="24"/>
          <w:szCs w:val="24"/>
          <w:lang w:val="ro-RO" w:eastAsia="ro-RO"/>
        </w:rPr>
        <w:t>47</w:t>
      </w:r>
      <w:r>
        <w:rPr>
          <w:rFonts w:eastAsia="Times New Roman" w:cs="Arial"/>
          <w:color w:val="000000"/>
          <w:sz w:val="24"/>
          <w:szCs w:val="24"/>
          <w:lang w:val="ro-RO" w:eastAsia="ro-RO"/>
        </w:rPr>
        <w:t xml:space="preserve"> p.p.)</w:t>
      </w:r>
      <w:r w:rsidR="002E55E6">
        <w:rPr>
          <w:rFonts w:eastAsia="Times New Roman" w:cs="Arial"/>
          <w:color w:val="000000"/>
          <w:sz w:val="24"/>
          <w:szCs w:val="24"/>
          <w:lang w:val="ro-RO" w:eastAsia="ro-RO"/>
        </w:rPr>
        <w:t>,</w:t>
      </w:r>
      <w:r>
        <w:rPr>
          <w:rFonts w:eastAsia="Times New Roman" w:cs="Arial"/>
          <w:color w:val="000000"/>
          <w:sz w:val="24"/>
          <w:szCs w:val="24"/>
          <w:lang w:val="ro-RO" w:eastAsia="ro-RO"/>
        </w:rPr>
        <w:t xml:space="preserve"> </w:t>
      </w:r>
      <w:r w:rsidR="00B16850">
        <w:rPr>
          <w:rFonts w:eastAsia="Times New Roman" w:cs="Arial"/>
          <w:color w:val="000000"/>
          <w:sz w:val="24"/>
          <w:szCs w:val="24"/>
          <w:lang w:val="ro-RO" w:eastAsia="ro-RO"/>
        </w:rPr>
        <w:t>însoțită de o creștere</w:t>
      </w:r>
      <w:r>
        <w:rPr>
          <w:rFonts w:eastAsia="Times New Roman" w:cs="Arial"/>
          <w:color w:val="000000"/>
          <w:sz w:val="24"/>
          <w:szCs w:val="24"/>
          <w:lang w:val="ro-RO" w:eastAsia="ro-RO"/>
        </w:rPr>
        <w:t xml:space="preserve"> la ca</w:t>
      </w:r>
      <w:r w:rsidR="00F25F58">
        <w:rPr>
          <w:rFonts w:eastAsia="Times New Roman" w:cs="Arial"/>
          <w:color w:val="000000"/>
          <w:sz w:val="24"/>
          <w:szCs w:val="24"/>
          <w:lang w:val="ro-RO" w:eastAsia="ro-RO"/>
        </w:rPr>
        <w:t xml:space="preserve">tegoria </w:t>
      </w:r>
      <w:r w:rsidR="002E55E6">
        <w:rPr>
          <w:rFonts w:eastAsia="Times New Roman" w:cs="Arial"/>
          <w:color w:val="000000"/>
          <w:sz w:val="24"/>
          <w:szCs w:val="24"/>
          <w:lang w:val="ro-RO" w:eastAsia="ro-RO"/>
        </w:rPr>
        <w:t>șomerilor neindemnizați</w:t>
      </w:r>
      <w:r w:rsidR="00F25F58">
        <w:rPr>
          <w:rFonts w:eastAsia="Times New Roman" w:cs="Arial"/>
          <w:color w:val="000000"/>
          <w:sz w:val="24"/>
          <w:szCs w:val="24"/>
          <w:lang w:val="ro-RO" w:eastAsia="ro-RO"/>
        </w:rPr>
        <w:t xml:space="preserve"> (</w:t>
      </w:r>
      <w:r w:rsidR="00B16850">
        <w:rPr>
          <w:rFonts w:eastAsia="Times New Roman" w:cs="Arial"/>
          <w:color w:val="000000"/>
          <w:sz w:val="24"/>
          <w:szCs w:val="24"/>
          <w:lang w:val="ro-RO" w:eastAsia="ro-RO"/>
        </w:rPr>
        <w:t>+</w:t>
      </w:r>
      <w:r w:rsidR="00A83553">
        <w:rPr>
          <w:rFonts w:eastAsia="Times New Roman" w:cs="Arial"/>
          <w:color w:val="000000"/>
          <w:sz w:val="24"/>
          <w:szCs w:val="24"/>
          <w:lang w:val="ro-RO" w:eastAsia="ro-RO"/>
        </w:rPr>
        <w:t>22</w:t>
      </w:r>
      <w:r w:rsidR="002E55E6">
        <w:rPr>
          <w:rFonts w:eastAsia="Times New Roman" w:cs="Arial"/>
          <w:color w:val="000000"/>
          <w:sz w:val="24"/>
          <w:szCs w:val="24"/>
          <w:lang w:val="ro-RO" w:eastAsia="ro-RO"/>
        </w:rPr>
        <w:t>,</w:t>
      </w:r>
      <w:r w:rsidR="00A83553">
        <w:rPr>
          <w:rFonts w:eastAsia="Times New Roman" w:cs="Arial"/>
          <w:color w:val="000000"/>
          <w:sz w:val="24"/>
          <w:szCs w:val="24"/>
          <w:lang w:val="ro-RO" w:eastAsia="ro-RO"/>
        </w:rPr>
        <w:t>66</w:t>
      </w:r>
      <w:r w:rsidR="00F25F58">
        <w:rPr>
          <w:rFonts w:eastAsia="Times New Roman" w:cs="Arial"/>
          <w:color w:val="000000"/>
          <w:sz w:val="24"/>
          <w:szCs w:val="24"/>
          <w:lang w:val="ro-RO" w:eastAsia="ro-RO"/>
        </w:rPr>
        <w:t xml:space="preserve"> p.p.).</w:t>
      </w:r>
      <w:r w:rsidR="002E55E6">
        <w:rPr>
          <w:rFonts w:eastAsia="Times New Roman" w:cs="Arial"/>
          <w:color w:val="000000"/>
          <w:sz w:val="24"/>
          <w:szCs w:val="24"/>
          <w:lang w:val="ro-RO" w:eastAsia="ro-RO"/>
        </w:rPr>
        <w:t xml:space="preserve"> </w:t>
      </w:r>
      <w:r w:rsidR="00B16850">
        <w:rPr>
          <w:rFonts w:eastAsia="Times New Roman" w:cs="Arial"/>
          <w:color w:val="000000"/>
          <w:sz w:val="24"/>
          <w:szCs w:val="24"/>
          <w:lang w:val="ro-RO" w:eastAsia="ro-RO"/>
        </w:rPr>
        <w:t>Așa cum se poate observa în tabelul de mai jos, intrăril</w:t>
      </w:r>
      <w:r w:rsidR="00A83553">
        <w:rPr>
          <w:rFonts w:eastAsia="Times New Roman" w:cs="Arial"/>
          <w:color w:val="000000"/>
          <w:sz w:val="24"/>
          <w:szCs w:val="24"/>
          <w:lang w:val="ro-RO" w:eastAsia="ro-RO"/>
        </w:rPr>
        <w:t>e</w:t>
      </w:r>
      <w:r w:rsidR="00B16850">
        <w:rPr>
          <w:rFonts w:eastAsia="Times New Roman" w:cs="Arial"/>
          <w:color w:val="000000"/>
          <w:sz w:val="24"/>
          <w:szCs w:val="24"/>
          <w:lang w:val="ro-RO" w:eastAsia="ro-RO"/>
        </w:rPr>
        <w:t xml:space="preserve"> </w:t>
      </w:r>
      <w:r w:rsidR="007F1644">
        <w:rPr>
          <w:rFonts w:eastAsia="Times New Roman" w:cs="Arial"/>
          <w:color w:val="000000"/>
          <w:sz w:val="24"/>
          <w:szCs w:val="24"/>
          <w:lang w:val="ro-RO" w:eastAsia="ro-RO"/>
        </w:rPr>
        <w:t>î</w:t>
      </w:r>
      <w:r w:rsidR="00B16850">
        <w:rPr>
          <w:rFonts w:eastAsia="Times New Roman" w:cs="Arial"/>
          <w:color w:val="000000"/>
          <w:sz w:val="24"/>
          <w:szCs w:val="24"/>
          <w:lang w:val="ro-RO" w:eastAsia="ro-RO"/>
        </w:rPr>
        <w:t xml:space="preserve">n </w:t>
      </w:r>
      <w:r w:rsidR="007F1644">
        <w:rPr>
          <w:rFonts w:eastAsia="Times New Roman" w:cs="Arial"/>
          <w:color w:val="000000"/>
          <w:sz w:val="24"/>
          <w:szCs w:val="24"/>
          <w:lang w:val="ro-RO" w:eastAsia="ro-RO"/>
        </w:rPr>
        <w:t>evidența</w:t>
      </w:r>
      <w:r w:rsidR="00B16850">
        <w:rPr>
          <w:rFonts w:eastAsia="Times New Roman" w:cs="Arial"/>
          <w:color w:val="000000"/>
          <w:sz w:val="24"/>
          <w:szCs w:val="24"/>
          <w:lang w:val="ro-RO" w:eastAsia="ro-RO"/>
        </w:rPr>
        <w:t xml:space="preserve"> agenției </w:t>
      </w:r>
      <w:r w:rsidR="00A83553">
        <w:rPr>
          <w:rFonts w:eastAsia="Times New Roman" w:cs="Arial"/>
          <w:color w:val="000000"/>
          <w:sz w:val="24"/>
          <w:szCs w:val="24"/>
          <w:lang w:val="ro-RO" w:eastAsia="ro-RO"/>
        </w:rPr>
        <w:t>s-</w:t>
      </w:r>
      <w:r w:rsidR="00B16850">
        <w:rPr>
          <w:rFonts w:eastAsia="Times New Roman" w:cs="Arial"/>
          <w:color w:val="000000"/>
          <w:sz w:val="24"/>
          <w:szCs w:val="24"/>
          <w:lang w:val="ro-RO" w:eastAsia="ro-RO"/>
        </w:rPr>
        <w:t>a</w:t>
      </w:r>
      <w:r w:rsidR="00A83553">
        <w:rPr>
          <w:rFonts w:eastAsia="Times New Roman" w:cs="Arial"/>
          <w:color w:val="000000"/>
          <w:sz w:val="24"/>
          <w:szCs w:val="24"/>
          <w:lang w:val="ro-RO" w:eastAsia="ro-RO"/>
        </w:rPr>
        <w:t>u situat la aceeași valoare</w:t>
      </w:r>
      <w:r w:rsidR="00B16850">
        <w:rPr>
          <w:rFonts w:eastAsia="Times New Roman" w:cs="Arial"/>
          <w:color w:val="000000"/>
          <w:sz w:val="24"/>
          <w:szCs w:val="24"/>
          <w:lang w:val="ro-RO" w:eastAsia="ro-RO"/>
        </w:rPr>
        <w:t xml:space="preserve"> c</w:t>
      </w:r>
      <w:r w:rsidR="00A83553">
        <w:rPr>
          <w:rFonts w:eastAsia="Times New Roman" w:cs="Arial"/>
          <w:color w:val="000000"/>
          <w:sz w:val="24"/>
          <w:szCs w:val="24"/>
          <w:lang w:val="ro-RO" w:eastAsia="ro-RO"/>
        </w:rPr>
        <w:t>a cea din</w:t>
      </w:r>
      <w:r w:rsidR="00B16850">
        <w:rPr>
          <w:rFonts w:eastAsia="Times New Roman" w:cs="Arial"/>
          <w:color w:val="000000"/>
          <w:sz w:val="24"/>
          <w:szCs w:val="24"/>
          <w:lang w:val="ro-RO" w:eastAsia="ro-RO"/>
        </w:rPr>
        <w:t xml:space="preserve"> anul precedent</w:t>
      </w:r>
      <w:r w:rsidR="007F1644">
        <w:rPr>
          <w:rFonts w:eastAsia="Times New Roman" w:cs="Arial"/>
          <w:color w:val="000000"/>
          <w:sz w:val="24"/>
          <w:szCs w:val="24"/>
          <w:lang w:val="ro-RO" w:eastAsia="ro-RO"/>
        </w:rPr>
        <w:t>.</w:t>
      </w:r>
    </w:p>
    <w:p w:rsidR="00AA1D16" w:rsidRDefault="00AA1D16" w:rsidP="00254E1F">
      <w:pPr>
        <w:spacing w:after="0" w:line="360" w:lineRule="auto"/>
        <w:ind w:left="567" w:firstLine="708"/>
        <w:rPr>
          <w:rFonts w:ascii="Times New Roman" w:eastAsia="Times New Roman" w:hAnsi="Times New Roman" w:cs="Arial"/>
          <w:color w:val="000000"/>
          <w:sz w:val="24"/>
          <w:szCs w:val="24"/>
          <w:lang w:val="ro-RO" w:eastAsia="ro-RO"/>
        </w:rPr>
      </w:pPr>
    </w:p>
    <w:tbl>
      <w:tblPr>
        <w:tblW w:w="10859" w:type="dxa"/>
        <w:tblInd w:w="93" w:type="dxa"/>
        <w:tblLayout w:type="fixed"/>
        <w:tblLook w:val="04A0" w:firstRow="1" w:lastRow="0" w:firstColumn="1" w:lastColumn="0" w:noHBand="0" w:noVBand="1"/>
      </w:tblPr>
      <w:tblGrid>
        <w:gridCol w:w="735"/>
        <w:gridCol w:w="810"/>
        <w:gridCol w:w="1440"/>
        <w:gridCol w:w="1516"/>
        <w:gridCol w:w="1298"/>
        <w:gridCol w:w="1156"/>
        <w:gridCol w:w="1486"/>
        <w:gridCol w:w="1474"/>
        <w:gridCol w:w="944"/>
      </w:tblGrid>
      <w:tr w:rsidR="0051592E" w:rsidRPr="0051592E" w:rsidTr="0051592E">
        <w:trPr>
          <w:trHeight w:val="1763"/>
        </w:trPr>
        <w:tc>
          <w:tcPr>
            <w:tcW w:w="735" w:type="dxa"/>
            <w:tcBorders>
              <w:top w:val="single" w:sz="8" w:space="0" w:color="auto"/>
              <w:left w:val="single" w:sz="8" w:space="0" w:color="auto"/>
              <w:bottom w:val="nil"/>
              <w:right w:val="nil"/>
            </w:tcBorders>
            <w:shd w:val="clear" w:color="000000" w:fill="EEEEEE"/>
            <w:vAlign w:val="center"/>
            <w:hideMark/>
          </w:tcPr>
          <w:p w:rsidR="0051592E" w:rsidRPr="0051592E" w:rsidRDefault="0051592E" w:rsidP="0051592E">
            <w:pPr>
              <w:spacing w:after="0" w:line="240" w:lineRule="auto"/>
              <w:ind w:left="0"/>
              <w:jc w:val="center"/>
              <w:rPr>
                <w:rFonts w:eastAsia="Times New Roman" w:cs="Arial"/>
                <w:b/>
                <w:bCs/>
                <w:color w:val="000000"/>
                <w:sz w:val="18"/>
                <w:szCs w:val="18"/>
              </w:rPr>
            </w:pPr>
            <w:r w:rsidRPr="0051592E">
              <w:rPr>
                <w:rFonts w:eastAsia="Times New Roman" w:cs="Arial"/>
                <w:b/>
                <w:bCs/>
                <w:color w:val="000000"/>
                <w:sz w:val="18"/>
                <w:szCs w:val="18"/>
              </w:rPr>
              <w:t>Anul</w:t>
            </w:r>
          </w:p>
        </w:tc>
        <w:tc>
          <w:tcPr>
            <w:tcW w:w="810"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Intrari Total</w:t>
            </w:r>
          </w:p>
        </w:tc>
        <w:tc>
          <w:tcPr>
            <w:tcW w:w="1440"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Disponibilizari colective</w:t>
            </w:r>
          </w:p>
        </w:tc>
        <w:tc>
          <w:tcPr>
            <w:tcW w:w="151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Disponibilizari curente de personal</w:t>
            </w:r>
          </w:p>
        </w:tc>
        <w:tc>
          <w:tcPr>
            <w:tcW w:w="1298"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Reactivarea de drepturi banesti ale somerilor indemnizati</w:t>
            </w:r>
          </w:p>
        </w:tc>
        <w:tc>
          <w:tcPr>
            <w:tcW w:w="115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Proaspeti absolventi</w:t>
            </w:r>
          </w:p>
        </w:tc>
        <w:tc>
          <w:tcPr>
            <w:tcW w:w="1486"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Reinoiri cereri loc de munca ale somerilor neindemnizati</w:t>
            </w:r>
          </w:p>
        </w:tc>
        <w:tc>
          <w:tcPr>
            <w:tcW w:w="1474" w:type="dxa"/>
            <w:tcBorders>
              <w:top w:val="single" w:sz="8" w:space="0" w:color="auto"/>
              <w:left w:val="single" w:sz="8" w:space="0" w:color="BBBBBB"/>
              <w:bottom w:val="nil"/>
              <w:right w:val="nil"/>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Someri neindemnizati cu adeverinta de venit minim garantat</w:t>
            </w:r>
          </w:p>
        </w:tc>
        <w:tc>
          <w:tcPr>
            <w:tcW w:w="944" w:type="dxa"/>
            <w:tcBorders>
              <w:top w:val="single" w:sz="8" w:space="0" w:color="auto"/>
              <w:left w:val="single" w:sz="8" w:space="0" w:color="BBBBBB"/>
              <w:bottom w:val="nil"/>
              <w:right w:val="single" w:sz="8" w:space="0" w:color="auto"/>
            </w:tcBorders>
            <w:shd w:val="clear" w:color="000000" w:fill="EEEEEE"/>
            <w:vAlign w:val="center"/>
            <w:hideMark/>
          </w:tcPr>
          <w:p w:rsidR="0051592E" w:rsidRPr="0051592E" w:rsidRDefault="0051592E" w:rsidP="0051592E">
            <w:pPr>
              <w:spacing w:after="0" w:line="240" w:lineRule="auto"/>
              <w:ind w:left="0"/>
              <w:jc w:val="left"/>
              <w:rPr>
                <w:rFonts w:eastAsia="Times New Roman" w:cs="Arial"/>
                <w:b/>
                <w:bCs/>
                <w:color w:val="000000"/>
                <w:sz w:val="18"/>
                <w:szCs w:val="18"/>
              </w:rPr>
            </w:pPr>
            <w:r w:rsidRPr="0051592E">
              <w:rPr>
                <w:rFonts w:eastAsia="Times New Roman" w:cs="Arial"/>
                <w:b/>
                <w:bCs/>
                <w:color w:val="000000"/>
                <w:sz w:val="18"/>
                <w:szCs w:val="18"/>
              </w:rPr>
              <w:t>Alte situatii posibile</w:t>
            </w:r>
          </w:p>
        </w:tc>
      </w:tr>
      <w:tr w:rsidR="00D72CD4" w:rsidRPr="0051592E" w:rsidTr="0051592E">
        <w:trPr>
          <w:trHeight w:val="296"/>
        </w:trPr>
        <w:tc>
          <w:tcPr>
            <w:tcW w:w="735" w:type="dxa"/>
            <w:tcBorders>
              <w:top w:val="single" w:sz="4" w:space="0" w:color="auto"/>
              <w:left w:val="single" w:sz="8" w:space="0" w:color="auto"/>
              <w:bottom w:val="single" w:sz="4" w:space="0" w:color="auto"/>
              <w:right w:val="single" w:sz="4" w:space="0" w:color="auto"/>
            </w:tcBorders>
            <w:shd w:val="clear" w:color="000000" w:fill="F2F2F2"/>
            <w:vAlign w:val="bottom"/>
            <w:hideMark/>
          </w:tcPr>
          <w:p w:rsidR="00D72CD4" w:rsidRPr="0051592E" w:rsidRDefault="00D72CD4" w:rsidP="00213E75">
            <w:pPr>
              <w:spacing w:after="0" w:line="240" w:lineRule="auto"/>
              <w:ind w:left="0"/>
              <w:jc w:val="center"/>
              <w:rPr>
                <w:rFonts w:ascii="Arial" w:eastAsia="Times New Roman" w:hAnsi="Arial" w:cs="Arial"/>
                <w:b/>
                <w:bCs/>
                <w:color w:val="000066"/>
                <w:sz w:val="20"/>
                <w:szCs w:val="20"/>
              </w:rPr>
            </w:pPr>
            <w:r w:rsidRPr="0051592E">
              <w:rPr>
                <w:rFonts w:ascii="Arial" w:eastAsia="Times New Roman" w:hAnsi="Arial" w:cs="Arial"/>
                <w:b/>
                <w:bCs/>
                <w:color w:val="000066"/>
                <w:sz w:val="20"/>
                <w:szCs w:val="20"/>
              </w:rPr>
              <w:t>20</w:t>
            </w:r>
            <w:r>
              <w:rPr>
                <w:rFonts w:ascii="Arial" w:eastAsia="Times New Roman" w:hAnsi="Arial" w:cs="Arial"/>
                <w:b/>
                <w:bCs/>
                <w:color w:val="000066"/>
                <w:sz w:val="20"/>
                <w:szCs w:val="20"/>
              </w:rPr>
              <w:t>21</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D72CD4" w:rsidRPr="0051592E" w:rsidRDefault="00D72CD4" w:rsidP="00582814">
            <w:pPr>
              <w:spacing w:after="0" w:line="240" w:lineRule="auto"/>
              <w:ind w:left="0"/>
              <w:jc w:val="center"/>
              <w:rPr>
                <w:rFonts w:ascii="Calibri" w:eastAsia="Times New Roman" w:hAnsi="Calibri"/>
                <w:b/>
                <w:bCs/>
                <w:color w:val="000000"/>
              </w:rPr>
            </w:pPr>
            <w:r>
              <w:rPr>
                <w:rFonts w:ascii="Calibri" w:eastAsia="Times New Roman" w:hAnsi="Calibri"/>
                <w:b/>
                <w:bCs/>
                <w:color w:val="000000"/>
              </w:rPr>
              <w:t>11716</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72CD4" w:rsidRPr="0051592E" w:rsidRDefault="00D72CD4" w:rsidP="00582814">
            <w:pPr>
              <w:spacing w:after="0" w:line="240" w:lineRule="auto"/>
              <w:ind w:left="0"/>
              <w:jc w:val="center"/>
              <w:rPr>
                <w:rFonts w:ascii="Calibri" w:eastAsia="Times New Roman" w:hAnsi="Calibri"/>
                <w:b/>
                <w:bCs/>
                <w:color w:val="000000"/>
              </w:rPr>
            </w:pPr>
            <w:r>
              <w:rPr>
                <w:rFonts w:ascii="Calibri" w:eastAsia="Times New Roman" w:hAnsi="Calibri"/>
                <w:b/>
                <w:bCs/>
                <w:color w:val="000000"/>
              </w:rPr>
              <w:t>209</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D72CD4" w:rsidRPr="0051592E" w:rsidRDefault="00D72CD4" w:rsidP="00582814">
            <w:pPr>
              <w:spacing w:after="0" w:line="240" w:lineRule="auto"/>
              <w:ind w:left="0"/>
              <w:jc w:val="center"/>
              <w:rPr>
                <w:rFonts w:ascii="Calibri" w:eastAsia="Times New Roman" w:hAnsi="Calibri"/>
                <w:b/>
                <w:bCs/>
                <w:color w:val="000000"/>
              </w:rPr>
            </w:pPr>
            <w:r>
              <w:rPr>
                <w:rFonts w:ascii="Calibri" w:eastAsia="Times New Roman" w:hAnsi="Calibri"/>
                <w:b/>
                <w:bCs/>
                <w:color w:val="000000"/>
              </w:rPr>
              <w:t>3130</w:t>
            </w:r>
          </w:p>
        </w:tc>
        <w:tc>
          <w:tcPr>
            <w:tcW w:w="1298" w:type="dxa"/>
            <w:tcBorders>
              <w:top w:val="single" w:sz="4" w:space="0" w:color="auto"/>
              <w:left w:val="nil"/>
              <w:bottom w:val="single" w:sz="4" w:space="0" w:color="auto"/>
              <w:right w:val="single" w:sz="4" w:space="0" w:color="auto"/>
            </w:tcBorders>
            <w:shd w:val="clear" w:color="auto" w:fill="auto"/>
            <w:noWrap/>
            <w:vAlign w:val="bottom"/>
            <w:hideMark/>
          </w:tcPr>
          <w:p w:rsidR="00D72CD4" w:rsidRPr="0051592E" w:rsidRDefault="00D72CD4" w:rsidP="00582814">
            <w:pPr>
              <w:spacing w:after="0" w:line="240" w:lineRule="auto"/>
              <w:ind w:left="0"/>
              <w:jc w:val="center"/>
              <w:rPr>
                <w:rFonts w:ascii="Calibri" w:eastAsia="Times New Roman" w:hAnsi="Calibri"/>
                <w:b/>
                <w:bCs/>
                <w:color w:val="000000"/>
              </w:rPr>
            </w:pPr>
            <w:r>
              <w:rPr>
                <w:rFonts w:ascii="Calibri" w:eastAsia="Times New Roman" w:hAnsi="Calibri"/>
                <w:b/>
                <w:bCs/>
                <w:color w:val="000000"/>
              </w:rPr>
              <w:t>1041</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D72CD4" w:rsidRPr="0051592E" w:rsidRDefault="00D72CD4" w:rsidP="00582814">
            <w:pPr>
              <w:spacing w:after="0" w:line="240" w:lineRule="auto"/>
              <w:ind w:left="0"/>
              <w:jc w:val="center"/>
              <w:rPr>
                <w:rFonts w:ascii="Calibri" w:eastAsia="Times New Roman" w:hAnsi="Calibri"/>
                <w:b/>
                <w:bCs/>
                <w:color w:val="000000"/>
              </w:rPr>
            </w:pPr>
            <w:r>
              <w:rPr>
                <w:rFonts w:ascii="Calibri" w:eastAsia="Times New Roman" w:hAnsi="Calibri"/>
                <w:b/>
                <w:bCs/>
                <w:color w:val="000000"/>
              </w:rPr>
              <w:t>526</w:t>
            </w:r>
          </w:p>
        </w:tc>
        <w:tc>
          <w:tcPr>
            <w:tcW w:w="1486" w:type="dxa"/>
            <w:tcBorders>
              <w:top w:val="single" w:sz="4" w:space="0" w:color="auto"/>
              <w:left w:val="nil"/>
              <w:bottom w:val="single" w:sz="4" w:space="0" w:color="auto"/>
              <w:right w:val="single" w:sz="4" w:space="0" w:color="auto"/>
            </w:tcBorders>
            <w:shd w:val="clear" w:color="auto" w:fill="auto"/>
            <w:noWrap/>
            <w:vAlign w:val="bottom"/>
            <w:hideMark/>
          </w:tcPr>
          <w:p w:rsidR="00D72CD4" w:rsidRPr="0051592E" w:rsidRDefault="00D72CD4" w:rsidP="00582814">
            <w:pPr>
              <w:spacing w:after="0" w:line="240" w:lineRule="auto"/>
              <w:ind w:left="0"/>
              <w:jc w:val="center"/>
              <w:rPr>
                <w:rFonts w:ascii="Calibri" w:eastAsia="Times New Roman" w:hAnsi="Calibri"/>
                <w:b/>
                <w:bCs/>
                <w:color w:val="000000"/>
              </w:rPr>
            </w:pPr>
            <w:r>
              <w:rPr>
                <w:rFonts w:ascii="Calibri" w:eastAsia="Times New Roman" w:hAnsi="Calibri"/>
                <w:b/>
                <w:bCs/>
                <w:color w:val="000000"/>
              </w:rPr>
              <w:t>2588</w:t>
            </w:r>
          </w:p>
        </w:tc>
        <w:tc>
          <w:tcPr>
            <w:tcW w:w="1474" w:type="dxa"/>
            <w:tcBorders>
              <w:top w:val="single" w:sz="4" w:space="0" w:color="auto"/>
              <w:left w:val="nil"/>
              <w:bottom w:val="single" w:sz="4" w:space="0" w:color="auto"/>
              <w:right w:val="single" w:sz="4" w:space="0" w:color="auto"/>
            </w:tcBorders>
            <w:shd w:val="clear" w:color="auto" w:fill="auto"/>
            <w:noWrap/>
            <w:vAlign w:val="bottom"/>
            <w:hideMark/>
          </w:tcPr>
          <w:p w:rsidR="00D72CD4" w:rsidRPr="0051592E" w:rsidRDefault="00D72CD4" w:rsidP="00582814">
            <w:pPr>
              <w:spacing w:after="0" w:line="240" w:lineRule="auto"/>
              <w:ind w:left="0"/>
              <w:jc w:val="center"/>
              <w:rPr>
                <w:rFonts w:ascii="Calibri" w:eastAsia="Times New Roman" w:hAnsi="Calibri"/>
                <w:b/>
                <w:bCs/>
                <w:color w:val="000000"/>
              </w:rPr>
            </w:pPr>
            <w:r>
              <w:rPr>
                <w:rFonts w:ascii="Calibri" w:eastAsia="Times New Roman" w:hAnsi="Calibri"/>
                <w:b/>
                <w:bCs/>
                <w:color w:val="000000"/>
              </w:rPr>
              <w:t>1422</w:t>
            </w:r>
          </w:p>
        </w:tc>
        <w:tc>
          <w:tcPr>
            <w:tcW w:w="944" w:type="dxa"/>
            <w:tcBorders>
              <w:top w:val="single" w:sz="4" w:space="0" w:color="auto"/>
              <w:left w:val="nil"/>
              <w:bottom w:val="single" w:sz="4" w:space="0" w:color="auto"/>
              <w:right w:val="single" w:sz="8" w:space="0" w:color="auto"/>
            </w:tcBorders>
            <w:shd w:val="clear" w:color="auto" w:fill="auto"/>
            <w:noWrap/>
            <w:vAlign w:val="bottom"/>
            <w:hideMark/>
          </w:tcPr>
          <w:p w:rsidR="00D72CD4" w:rsidRPr="0051592E" w:rsidRDefault="00D72CD4" w:rsidP="00582814">
            <w:pPr>
              <w:spacing w:after="0" w:line="240" w:lineRule="auto"/>
              <w:ind w:left="0"/>
              <w:jc w:val="center"/>
              <w:rPr>
                <w:rFonts w:ascii="Calibri" w:eastAsia="Times New Roman" w:hAnsi="Calibri"/>
                <w:b/>
                <w:bCs/>
                <w:color w:val="000000"/>
              </w:rPr>
            </w:pPr>
            <w:r>
              <w:rPr>
                <w:rFonts w:ascii="Calibri" w:eastAsia="Times New Roman" w:hAnsi="Calibri"/>
                <w:b/>
                <w:bCs/>
                <w:color w:val="000000"/>
              </w:rPr>
              <w:t>2800</w:t>
            </w:r>
          </w:p>
        </w:tc>
      </w:tr>
      <w:tr w:rsidR="002E55E6" w:rsidRPr="0051592E" w:rsidTr="002E55E6">
        <w:trPr>
          <w:trHeight w:val="311"/>
        </w:trPr>
        <w:tc>
          <w:tcPr>
            <w:tcW w:w="735" w:type="dxa"/>
            <w:tcBorders>
              <w:top w:val="nil"/>
              <w:left w:val="single" w:sz="8" w:space="0" w:color="auto"/>
              <w:bottom w:val="single" w:sz="8" w:space="0" w:color="auto"/>
              <w:right w:val="single" w:sz="4" w:space="0" w:color="auto"/>
            </w:tcBorders>
            <w:shd w:val="clear" w:color="000000" w:fill="F2F2F2"/>
            <w:vAlign w:val="center"/>
            <w:hideMark/>
          </w:tcPr>
          <w:p w:rsidR="002E55E6" w:rsidRPr="0051592E" w:rsidRDefault="002E55E6" w:rsidP="00213E75">
            <w:pPr>
              <w:spacing w:after="0" w:line="240" w:lineRule="auto"/>
              <w:ind w:left="0"/>
              <w:jc w:val="center"/>
              <w:rPr>
                <w:rFonts w:ascii="Arial" w:eastAsia="Times New Roman" w:hAnsi="Arial" w:cs="Arial"/>
                <w:b/>
                <w:bCs/>
                <w:color w:val="000000"/>
                <w:sz w:val="20"/>
                <w:szCs w:val="20"/>
              </w:rPr>
            </w:pPr>
            <w:r w:rsidRPr="0051592E">
              <w:rPr>
                <w:rFonts w:ascii="Arial" w:eastAsia="Times New Roman" w:hAnsi="Arial" w:cs="Arial"/>
                <w:b/>
                <w:bCs/>
                <w:color w:val="000000"/>
                <w:sz w:val="20"/>
                <w:szCs w:val="20"/>
              </w:rPr>
              <w:t>202</w:t>
            </w:r>
            <w:r w:rsidR="00213E75">
              <w:rPr>
                <w:rFonts w:ascii="Arial" w:eastAsia="Times New Roman" w:hAnsi="Arial" w:cs="Arial"/>
                <w:b/>
                <w:bCs/>
                <w:color w:val="000000"/>
                <w:sz w:val="20"/>
                <w:szCs w:val="20"/>
              </w:rPr>
              <w:t>2</w:t>
            </w:r>
          </w:p>
        </w:tc>
        <w:tc>
          <w:tcPr>
            <w:tcW w:w="810" w:type="dxa"/>
            <w:tcBorders>
              <w:top w:val="nil"/>
              <w:left w:val="nil"/>
              <w:bottom w:val="single" w:sz="8" w:space="0" w:color="auto"/>
              <w:right w:val="single" w:sz="4" w:space="0" w:color="auto"/>
            </w:tcBorders>
            <w:shd w:val="clear" w:color="auto" w:fill="auto"/>
            <w:noWrap/>
            <w:vAlign w:val="bottom"/>
          </w:tcPr>
          <w:p w:rsidR="002E55E6" w:rsidRPr="0051592E" w:rsidRDefault="00A83553"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11712</w:t>
            </w:r>
          </w:p>
        </w:tc>
        <w:tc>
          <w:tcPr>
            <w:tcW w:w="1440" w:type="dxa"/>
            <w:tcBorders>
              <w:top w:val="nil"/>
              <w:left w:val="nil"/>
              <w:bottom w:val="single" w:sz="8" w:space="0" w:color="auto"/>
              <w:right w:val="single" w:sz="4" w:space="0" w:color="auto"/>
            </w:tcBorders>
            <w:shd w:val="clear" w:color="auto" w:fill="auto"/>
            <w:noWrap/>
            <w:vAlign w:val="bottom"/>
          </w:tcPr>
          <w:p w:rsidR="002E55E6" w:rsidRPr="0051592E" w:rsidRDefault="00A83553"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100</w:t>
            </w:r>
          </w:p>
        </w:tc>
        <w:tc>
          <w:tcPr>
            <w:tcW w:w="1516" w:type="dxa"/>
            <w:tcBorders>
              <w:top w:val="nil"/>
              <w:left w:val="nil"/>
              <w:bottom w:val="single" w:sz="8" w:space="0" w:color="auto"/>
              <w:right w:val="single" w:sz="4" w:space="0" w:color="auto"/>
            </w:tcBorders>
            <w:shd w:val="clear" w:color="auto" w:fill="auto"/>
            <w:noWrap/>
            <w:vAlign w:val="bottom"/>
          </w:tcPr>
          <w:p w:rsidR="002E55E6" w:rsidRPr="0051592E" w:rsidRDefault="002E55E6" w:rsidP="00A83553">
            <w:pPr>
              <w:spacing w:after="0" w:line="240" w:lineRule="auto"/>
              <w:ind w:left="0"/>
              <w:jc w:val="center"/>
              <w:rPr>
                <w:rFonts w:ascii="Calibri" w:eastAsia="Times New Roman" w:hAnsi="Calibri"/>
                <w:b/>
                <w:bCs/>
                <w:color w:val="000000"/>
              </w:rPr>
            </w:pPr>
            <w:r>
              <w:rPr>
                <w:rFonts w:ascii="Calibri" w:eastAsia="Times New Roman" w:hAnsi="Calibri"/>
                <w:b/>
                <w:bCs/>
                <w:color w:val="000000"/>
              </w:rPr>
              <w:t>2</w:t>
            </w:r>
            <w:r w:rsidR="00A83553">
              <w:rPr>
                <w:rFonts w:ascii="Calibri" w:eastAsia="Times New Roman" w:hAnsi="Calibri"/>
                <w:b/>
                <w:bCs/>
                <w:color w:val="000000"/>
              </w:rPr>
              <w:t>756</w:t>
            </w:r>
          </w:p>
        </w:tc>
        <w:tc>
          <w:tcPr>
            <w:tcW w:w="1298" w:type="dxa"/>
            <w:tcBorders>
              <w:top w:val="nil"/>
              <w:left w:val="nil"/>
              <w:bottom w:val="single" w:sz="8" w:space="0" w:color="auto"/>
              <w:right w:val="single" w:sz="4" w:space="0" w:color="auto"/>
            </w:tcBorders>
            <w:shd w:val="clear" w:color="auto" w:fill="auto"/>
            <w:noWrap/>
            <w:vAlign w:val="bottom"/>
          </w:tcPr>
          <w:p w:rsidR="002E55E6" w:rsidRPr="0051592E" w:rsidRDefault="00A83553" w:rsidP="0051592E">
            <w:pPr>
              <w:spacing w:after="0" w:line="240" w:lineRule="auto"/>
              <w:ind w:left="0"/>
              <w:jc w:val="center"/>
              <w:rPr>
                <w:rFonts w:ascii="Calibri" w:eastAsia="Times New Roman" w:hAnsi="Calibri"/>
                <w:b/>
                <w:bCs/>
                <w:color w:val="000000"/>
              </w:rPr>
            </w:pPr>
            <w:r>
              <w:rPr>
                <w:rFonts w:ascii="Calibri" w:eastAsia="Times New Roman" w:hAnsi="Calibri"/>
                <w:b/>
                <w:bCs/>
                <w:color w:val="000000"/>
              </w:rPr>
              <w:t>529</w:t>
            </w:r>
          </w:p>
        </w:tc>
        <w:tc>
          <w:tcPr>
            <w:tcW w:w="1156" w:type="dxa"/>
            <w:tcBorders>
              <w:top w:val="nil"/>
              <w:left w:val="nil"/>
              <w:bottom w:val="single" w:sz="8" w:space="0" w:color="auto"/>
              <w:right w:val="single" w:sz="4" w:space="0" w:color="auto"/>
            </w:tcBorders>
            <w:shd w:val="clear" w:color="auto" w:fill="auto"/>
            <w:noWrap/>
            <w:vAlign w:val="bottom"/>
          </w:tcPr>
          <w:p w:rsidR="002E55E6" w:rsidRPr="0051592E" w:rsidRDefault="002E55E6" w:rsidP="00A83553">
            <w:pPr>
              <w:spacing w:after="0" w:line="240" w:lineRule="auto"/>
              <w:ind w:left="0"/>
              <w:jc w:val="center"/>
              <w:rPr>
                <w:rFonts w:ascii="Calibri" w:eastAsia="Times New Roman" w:hAnsi="Calibri"/>
                <w:b/>
                <w:bCs/>
                <w:color w:val="000000"/>
              </w:rPr>
            </w:pPr>
            <w:r>
              <w:rPr>
                <w:rFonts w:ascii="Calibri" w:eastAsia="Times New Roman" w:hAnsi="Calibri"/>
                <w:b/>
                <w:bCs/>
                <w:color w:val="000000"/>
              </w:rPr>
              <w:t>4</w:t>
            </w:r>
            <w:r w:rsidR="00A83553">
              <w:rPr>
                <w:rFonts w:ascii="Calibri" w:eastAsia="Times New Roman" w:hAnsi="Calibri"/>
                <w:b/>
                <w:bCs/>
                <w:color w:val="000000"/>
              </w:rPr>
              <w:t>54</w:t>
            </w:r>
          </w:p>
        </w:tc>
        <w:tc>
          <w:tcPr>
            <w:tcW w:w="1486" w:type="dxa"/>
            <w:tcBorders>
              <w:top w:val="nil"/>
              <w:left w:val="nil"/>
              <w:bottom w:val="single" w:sz="8" w:space="0" w:color="auto"/>
              <w:right w:val="single" w:sz="4" w:space="0" w:color="auto"/>
            </w:tcBorders>
            <w:shd w:val="clear" w:color="auto" w:fill="auto"/>
            <w:noWrap/>
            <w:vAlign w:val="bottom"/>
          </w:tcPr>
          <w:p w:rsidR="002E55E6" w:rsidRPr="0051592E" w:rsidRDefault="002E55E6" w:rsidP="00A83553">
            <w:pPr>
              <w:spacing w:after="0" w:line="240" w:lineRule="auto"/>
              <w:ind w:left="0"/>
              <w:jc w:val="center"/>
              <w:rPr>
                <w:rFonts w:ascii="Calibri" w:eastAsia="Times New Roman" w:hAnsi="Calibri"/>
                <w:b/>
                <w:bCs/>
                <w:color w:val="000000"/>
              </w:rPr>
            </w:pPr>
            <w:r>
              <w:rPr>
                <w:rFonts w:ascii="Calibri" w:eastAsia="Times New Roman" w:hAnsi="Calibri"/>
                <w:b/>
                <w:bCs/>
                <w:color w:val="000000"/>
              </w:rPr>
              <w:t>2</w:t>
            </w:r>
            <w:r w:rsidR="00A83553">
              <w:rPr>
                <w:rFonts w:ascii="Calibri" w:eastAsia="Times New Roman" w:hAnsi="Calibri"/>
                <w:b/>
                <w:bCs/>
                <w:color w:val="000000"/>
              </w:rPr>
              <w:t>503</w:t>
            </w:r>
          </w:p>
        </w:tc>
        <w:tc>
          <w:tcPr>
            <w:tcW w:w="1474" w:type="dxa"/>
            <w:tcBorders>
              <w:top w:val="nil"/>
              <w:left w:val="nil"/>
              <w:bottom w:val="single" w:sz="8" w:space="0" w:color="auto"/>
              <w:right w:val="single" w:sz="4" w:space="0" w:color="auto"/>
            </w:tcBorders>
            <w:shd w:val="clear" w:color="auto" w:fill="auto"/>
            <w:noWrap/>
            <w:vAlign w:val="bottom"/>
          </w:tcPr>
          <w:p w:rsidR="002E55E6" w:rsidRPr="0051592E" w:rsidRDefault="002E55E6" w:rsidP="00A83553">
            <w:pPr>
              <w:spacing w:after="0" w:line="240" w:lineRule="auto"/>
              <w:ind w:left="0"/>
              <w:jc w:val="center"/>
              <w:rPr>
                <w:rFonts w:ascii="Calibri" w:eastAsia="Times New Roman" w:hAnsi="Calibri"/>
                <w:b/>
                <w:bCs/>
                <w:color w:val="000000"/>
              </w:rPr>
            </w:pPr>
            <w:r>
              <w:rPr>
                <w:rFonts w:ascii="Calibri" w:eastAsia="Times New Roman" w:hAnsi="Calibri"/>
                <w:b/>
                <w:bCs/>
                <w:color w:val="000000"/>
              </w:rPr>
              <w:t>1</w:t>
            </w:r>
            <w:r w:rsidR="00A83553">
              <w:rPr>
                <w:rFonts w:ascii="Calibri" w:eastAsia="Times New Roman" w:hAnsi="Calibri"/>
                <w:b/>
                <w:bCs/>
                <w:color w:val="000000"/>
              </w:rPr>
              <w:t>829</w:t>
            </w:r>
          </w:p>
        </w:tc>
        <w:tc>
          <w:tcPr>
            <w:tcW w:w="944" w:type="dxa"/>
            <w:tcBorders>
              <w:top w:val="nil"/>
              <w:left w:val="nil"/>
              <w:bottom w:val="single" w:sz="8" w:space="0" w:color="auto"/>
              <w:right w:val="single" w:sz="8" w:space="0" w:color="auto"/>
            </w:tcBorders>
            <w:shd w:val="clear" w:color="auto" w:fill="auto"/>
            <w:noWrap/>
            <w:vAlign w:val="bottom"/>
          </w:tcPr>
          <w:p w:rsidR="002E55E6" w:rsidRPr="0051592E" w:rsidRDefault="00213E75" w:rsidP="00A83553">
            <w:pPr>
              <w:spacing w:after="0" w:line="240" w:lineRule="auto"/>
              <w:ind w:left="0"/>
              <w:jc w:val="center"/>
              <w:rPr>
                <w:rFonts w:ascii="Calibri" w:eastAsia="Times New Roman" w:hAnsi="Calibri"/>
                <w:b/>
                <w:bCs/>
                <w:color w:val="000000"/>
              </w:rPr>
            </w:pPr>
            <w:r>
              <w:rPr>
                <w:rFonts w:ascii="Calibri" w:eastAsia="Times New Roman" w:hAnsi="Calibri"/>
                <w:b/>
                <w:bCs/>
                <w:color w:val="000000"/>
              </w:rPr>
              <w:t>3</w:t>
            </w:r>
            <w:r w:rsidR="00A83553">
              <w:rPr>
                <w:rFonts w:ascii="Calibri" w:eastAsia="Times New Roman" w:hAnsi="Calibri"/>
                <w:b/>
                <w:bCs/>
                <w:color w:val="000000"/>
              </w:rPr>
              <w:t>541</w:t>
            </w:r>
          </w:p>
        </w:tc>
      </w:tr>
    </w:tbl>
    <w:p w:rsidR="00F8556A" w:rsidRPr="00254E1F" w:rsidRDefault="00F8556A" w:rsidP="00F8556A">
      <w:pPr>
        <w:spacing w:after="0" w:line="360" w:lineRule="auto"/>
        <w:ind w:left="0"/>
        <w:rPr>
          <w:rFonts w:eastAsia="Times New Roman" w:cs="Arial"/>
          <w:sz w:val="24"/>
          <w:szCs w:val="24"/>
          <w:lang w:val="ro-RO" w:eastAsia="ro-RO"/>
        </w:rPr>
      </w:pPr>
    </w:p>
    <w:p w:rsidR="00C147AD" w:rsidRDefault="00C147AD" w:rsidP="00C147AD">
      <w:pPr>
        <w:spacing w:line="360" w:lineRule="auto"/>
        <w:ind w:left="0" w:firstLine="706"/>
        <w:rPr>
          <w:rFonts w:cs="Arial"/>
          <w:b/>
          <w:sz w:val="24"/>
          <w:szCs w:val="24"/>
        </w:rPr>
      </w:pPr>
    </w:p>
    <w:p w:rsidR="00C4254A" w:rsidRDefault="00C4254A" w:rsidP="00C147AD">
      <w:pPr>
        <w:spacing w:line="360" w:lineRule="auto"/>
        <w:ind w:left="0" w:firstLine="706"/>
        <w:rPr>
          <w:rFonts w:cs="Arial"/>
          <w:b/>
          <w:sz w:val="24"/>
          <w:szCs w:val="24"/>
        </w:rPr>
      </w:pPr>
    </w:p>
    <w:p w:rsidR="00C4254A" w:rsidRDefault="00C4254A" w:rsidP="00C147AD">
      <w:pPr>
        <w:spacing w:line="360" w:lineRule="auto"/>
        <w:ind w:left="0" w:firstLine="706"/>
        <w:rPr>
          <w:rFonts w:cs="Arial"/>
          <w:b/>
          <w:sz w:val="24"/>
          <w:szCs w:val="24"/>
        </w:rPr>
      </w:pPr>
    </w:p>
    <w:p w:rsidR="00C147AD" w:rsidRPr="009901A1" w:rsidRDefault="00C147AD" w:rsidP="00C147AD">
      <w:pPr>
        <w:spacing w:line="360" w:lineRule="auto"/>
        <w:ind w:left="0" w:firstLine="706"/>
        <w:rPr>
          <w:rFonts w:cs="Arial"/>
          <w:b/>
          <w:sz w:val="24"/>
          <w:szCs w:val="24"/>
          <w:u w:val="single"/>
        </w:rPr>
      </w:pPr>
      <w:r w:rsidRPr="009901A1">
        <w:rPr>
          <w:rFonts w:cs="Arial"/>
          <w:b/>
          <w:sz w:val="24"/>
          <w:szCs w:val="24"/>
          <w:u w:val="single"/>
        </w:rPr>
        <w:lastRenderedPageBreak/>
        <w:t>Medierea muncii</w:t>
      </w:r>
    </w:p>
    <w:p w:rsidR="00C147AD" w:rsidRDefault="00C147AD" w:rsidP="00EA4B72">
      <w:pPr>
        <w:pStyle w:val="BodyText2"/>
        <w:spacing w:after="0" w:line="360" w:lineRule="auto"/>
        <w:ind w:left="706" w:firstLine="720"/>
        <w:jc w:val="both"/>
        <w:rPr>
          <w:rFonts w:ascii="Trebuchet MS" w:hAnsi="Trebuchet MS" w:cs="Arial"/>
        </w:rPr>
      </w:pPr>
      <w:r w:rsidRPr="00C147AD">
        <w:rPr>
          <w:rFonts w:ascii="Trebuchet MS" w:hAnsi="Trebuchet MS" w:cs="Arial"/>
          <w:b/>
        </w:rPr>
        <w:t>Prin implementarea măsurilor active cuprinse în Programul de ocupare a forței de muncă</w:t>
      </w:r>
      <w:r w:rsidRPr="00C147AD">
        <w:rPr>
          <w:rFonts w:ascii="Trebuchet MS" w:hAnsi="Trebuchet MS" w:cs="Arial"/>
        </w:rPr>
        <w:t xml:space="preserve"> în anul 202</w:t>
      </w:r>
      <w:r w:rsidR="00411AD2">
        <w:rPr>
          <w:rFonts w:ascii="Trebuchet MS" w:hAnsi="Trebuchet MS" w:cs="Arial"/>
        </w:rPr>
        <w:t>2</w:t>
      </w:r>
      <w:r w:rsidRPr="00C147AD">
        <w:rPr>
          <w:rFonts w:ascii="Trebuchet MS" w:hAnsi="Trebuchet MS" w:cs="Arial"/>
        </w:rPr>
        <w:t xml:space="preserve">, </w:t>
      </w:r>
      <w:r w:rsidRPr="00C147AD">
        <w:rPr>
          <w:rFonts w:ascii="Trebuchet MS" w:hAnsi="Trebuchet MS" w:cs="Arial"/>
          <w:b/>
        </w:rPr>
        <w:t>8.567</w:t>
      </w:r>
      <w:r w:rsidRPr="00C147AD">
        <w:rPr>
          <w:rFonts w:ascii="Trebuchet MS" w:hAnsi="Trebuchet MS" w:cs="Arial"/>
        </w:rPr>
        <w:t xml:space="preserve">  persoane au  fost cuprinse la măsuri active, din care </w:t>
      </w:r>
      <w:r w:rsidRPr="00EA4B72">
        <w:rPr>
          <w:rFonts w:ascii="Trebuchet MS" w:hAnsi="Trebuchet MS" w:cs="Arial"/>
          <w:b/>
        </w:rPr>
        <w:t>4</w:t>
      </w:r>
      <w:r w:rsidRPr="00C147AD">
        <w:rPr>
          <w:rFonts w:ascii="Trebuchet MS" w:hAnsi="Trebuchet MS"/>
          <w:b/>
        </w:rPr>
        <w:t>.155</w:t>
      </w:r>
      <w:r w:rsidRPr="00C147AD">
        <w:rPr>
          <w:rFonts w:ascii="Trebuchet MS" w:hAnsi="Trebuchet MS" w:cs="Arial"/>
        </w:rPr>
        <w:t xml:space="preserve"> persoane au fost încadrate. </w:t>
      </w:r>
    </w:p>
    <w:p w:rsidR="00EA4B72" w:rsidRPr="00FF1ABC" w:rsidRDefault="00EA4B72" w:rsidP="00EA4B72">
      <w:pPr>
        <w:ind w:left="0" w:firstLine="706"/>
        <w:rPr>
          <w:b/>
          <w:bCs/>
        </w:rPr>
      </w:pPr>
      <w:r w:rsidRPr="00FF1ABC">
        <w:rPr>
          <w:b/>
          <w:bCs/>
        </w:rPr>
        <w:t>Situa</w:t>
      </w:r>
      <w:r>
        <w:rPr>
          <w:b/>
          <w:bCs/>
        </w:rPr>
        <w:t>ț</w:t>
      </w:r>
      <w:r w:rsidRPr="00FF1ABC">
        <w:rPr>
          <w:b/>
          <w:bCs/>
        </w:rPr>
        <w:t>ia realiz</w:t>
      </w:r>
      <w:r>
        <w:rPr>
          <w:b/>
          <w:bCs/>
        </w:rPr>
        <w:t>ă</w:t>
      </w:r>
      <w:r w:rsidRPr="00FF1ABC">
        <w:rPr>
          <w:b/>
          <w:bCs/>
        </w:rPr>
        <w:t>rii Programului de Ocupare, la data de  31.12.20</w:t>
      </w:r>
      <w:r>
        <w:rPr>
          <w:b/>
          <w:bCs/>
        </w:rPr>
        <w:t>22</w:t>
      </w:r>
      <w:r w:rsidRPr="00FF1ABC">
        <w:rPr>
          <w:b/>
          <w:bCs/>
        </w:rPr>
        <w:t xml:space="preserve"> </w:t>
      </w:r>
    </w:p>
    <w:tbl>
      <w:tblPr>
        <w:tblW w:w="8780" w:type="dxa"/>
        <w:tblInd w:w="760" w:type="dxa"/>
        <w:tblLook w:val="04A0" w:firstRow="1" w:lastRow="0" w:firstColumn="1" w:lastColumn="0" w:noHBand="0" w:noVBand="1"/>
      </w:tblPr>
      <w:tblGrid>
        <w:gridCol w:w="577"/>
        <w:gridCol w:w="5534"/>
        <w:gridCol w:w="1275"/>
        <w:gridCol w:w="1394"/>
      </w:tblGrid>
      <w:tr w:rsidR="00EA4B72" w:rsidRPr="0084733B" w:rsidTr="00582814">
        <w:trPr>
          <w:trHeight w:val="525"/>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Nr. crt. </w:t>
            </w:r>
          </w:p>
        </w:tc>
        <w:tc>
          <w:tcPr>
            <w:tcW w:w="5534" w:type="dxa"/>
            <w:tcBorders>
              <w:top w:val="single" w:sz="4" w:space="0" w:color="auto"/>
              <w:left w:val="nil"/>
              <w:bottom w:val="single" w:sz="4" w:space="0" w:color="auto"/>
              <w:right w:val="single" w:sz="4" w:space="0" w:color="auto"/>
            </w:tcBorders>
            <w:shd w:val="clear" w:color="auto" w:fill="auto"/>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Tip de masura </w:t>
            </w:r>
          </w:p>
        </w:tc>
        <w:tc>
          <w:tcPr>
            <w:tcW w:w="1275" w:type="dxa"/>
            <w:tcBorders>
              <w:top w:val="single" w:sz="4" w:space="0" w:color="auto"/>
              <w:left w:val="nil"/>
              <w:bottom w:val="nil"/>
              <w:right w:val="single" w:sz="4" w:space="0" w:color="auto"/>
            </w:tcBorders>
            <w:shd w:val="clear" w:color="auto" w:fill="auto"/>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Planificat 2022 </w:t>
            </w:r>
          </w:p>
        </w:tc>
        <w:tc>
          <w:tcPr>
            <w:tcW w:w="1394" w:type="dxa"/>
            <w:tcBorders>
              <w:top w:val="single" w:sz="4" w:space="0" w:color="auto"/>
              <w:left w:val="nil"/>
              <w:bottom w:val="nil"/>
              <w:right w:val="single" w:sz="4" w:space="0" w:color="auto"/>
            </w:tcBorders>
            <w:shd w:val="clear" w:color="auto" w:fill="auto"/>
            <w:vAlign w:val="center"/>
            <w:hideMark/>
          </w:tcPr>
          <w:p w:rsidR="00EA4B72" w:rsidRPr="0084733B" w:rsidRDefault="00EA4B72" w:rsidP="00582814">
            <w:pPr>
              <w:spacing w:after="0" w:line="240" w:lineRule="auto"/>
              <w:ind w:left="0"/>
              <w:jc w:val="center"/>
              <w:rPr>
                <w:rFonts w:ascii="Times New Roman" w:eastAsia="Times New Roman" w:hAnsi="Times New Roman"/>
                <w:b/>
                <w:bCs/>
                <w:sz w:val="20"/>
                <w:szCs w:val="20"/>
              </w:rPr>
            </w:pPr>
            <w:r w:rsidRPr="0084733B">
              <w:rPr>
                <w:rFonts w:ascii="Times New Roman" w:eastAsia="Times New Roman" w:hAnsi="Times New Roman"/>
                <w:b/>
                <w:bCs/>
                <w:sz w:val="20"/>
                <w:szCs w:val="20"/>
              </w:rPr>
              <w:t>Realizat la 31.12.2022</w:t>
            </w:r>
          </w:p>
        </w:tc>
      </w:tr>
      <w:tr w:rsidR="00EA4B72" w:rsidRPr="0084733B" w:rsidTr="00582814">
        <w:trPr>
          <w:trHeight w:val="43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w:t>
            </w:r>
          </w:p>
        </w:tc>
        <w:tc>
          <w:tcPr>
            <w:tcW w:w="5534" w:type="dxa"/>
            <w:tcBorders>
              <w:top w:val="nil"/>
              <w:left w:val="nil"/>
              <w:bottom w:val="single" w:sz="4" w:space="0" w:color="auto"/>
              <w:right w:val="single" w:sz="4" w:space="0" w:color="auto"/>
            </w:tcBorders>
            <w:shd w:val="clear" w:color="auto" w:fill="auto"/>
            <w:vAlign w:val="center"/>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TOTAL  persoane incadrate, din care: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5.500 </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4.155 </w:t>
            </w:r>
          </w:p>
        </w:tc>
      </w:tr>
      <w:tr w:rsidR="00EA4B72" w:rsidRPr="0084733B" w:rsidTr="00582814">
        <w:trPr>
          <w:trHeight w:val="55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Nr persoane ocupate  ca urmare a acordarii serviciilor de mediere a locurilor de munca vacante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5.000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4.155 </w:t>
            </w:r>
          </w:p>
        </w:tc>
      </w:tr>
      <w:tr w:rsidR="00EA4B72" w:rsidRPr="0084733B" w:rsidTr="00582814">
        <w:trPr>
          <w:trHeight w:val="49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Incadrarea prin organizarea cursurilor de formare profesionala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120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210 </w:t>
            </w:r>
          </w:p>
        </w:tc>
      </w:tr>
      <w:tr w:rsidR="00EA4B72" w:rsidRPr="0084733B" w:rsidTr="00582814">
        <w:trPr>
          <w:trHeight w:val="460"/>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3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Completarea veniturilor somerilor care se incadreaza inainte de expirarea indemnizatiei pentru  somaj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550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473 </w:t>
            </w:r>
          </w:p>
        </w:tc>
      </w:tr>
      <w:tr w:rsidR="00EA4B72" w:rsidRPr="0084733B" w:rsidTr="00582814">
        <w:trPr>
          <w:trHeight w:val="424"/>
        </w:trPr>
        <w:tc>
          <w:tcPr>
            <w:tcW w:w="577" w:type="dxa"/>
            <w:tcBorders>
              <w:top w:val="nil"/>
              <w:left w:val="single" w:sz="4" w:space="0" w:color="auto"/>
              <w:bottom w:val="single" w:sz="4" w:space="0" w:color="auto"/>
              <w:right w:val="single" w:sz="4" w:space="0" w:color="auto"/>
            </w:tcBorders>
            <w:shd w:val="clear" w:color="auto" w:fill="auto"/>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4 </w:t>
            </w:r>
          </w:p>
        </w:tc>
        <w:tc>
          <w:tcPr>
            <w:tcW w:w="5534" w:type="dxa"/>
            <w:tcBorders>
              <w:top w:val="nil"/>
              <w:left w:val="nil"/>
              <w:bottom w:val="single" w:sz="4" w:space="0" w:color="auto"/>
              <w:right w:val="single" w:sz="4" w:space="0" w:color="auto"/>
            </w:tcBorders>
            <w:shd w:val="clear" w:color="auto" w:fill="auto"/>
            <w:vAlign w:val="center"/>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Prime activare pentru somerii neindemnizati </w:t>
            </w:r>
          </w:p>
        </w:tc>
        <w:tc>
          <w:tcPr>
            <w:tcW w:w="1275" w:type="dxa"/>
            <w:tcBorders>
              <w:top w:val="nil"/>
              <w:left w:val="nil"/>
              <w:bottom w:val="single" w:sz="4" w:space="0" w:color="auto"/>
              <w:right w:val="single" w:sz="4" w:space="0" w:color="auto"/>
            </w:tcBorders>
            <w:shd w:val="clear" w:color="auto" w:fill="auto"/>
            <w:vAlign w:val="center"/>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70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32 </w:t>
            </w:r>
          </w:p>
        </w:tc>
      </w:tr>
      <w:tr w:rsidR="00EA4B72" w:rsidRPr="0084733B" w:rsidTr="00582814">
        <w:trPr>
          <w:trHeight w:val="76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5 </w:t>
            </w:r>
          </w:p>
        </w:tc>
        <w:tc>
          <w:tcPr>
            <w:tcW w:w="5534" w:type="dxa"/>
            <w:tcBorders>
              <w:top w:val="nil"/>
              <w:left w:val="nil"/>
              <w:bottom w:val="single" w:sz="4" w:space="0" w:color="auto"/>
              <w:right w:val="single" w:sz="4" w:space="0" w:color="auto"/>
            </w:tcBorders>
            <w:shd w:val="clear" w:color="000000" w:fill="FFFFFF"/>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Acordarea de subventii angajatorilor care incadreaza in munca someri peste 45 de ani sau someri unici sustinatori ai familiilor monoparentale, din care:                                                                       (rd.5=rd.5a+rd 5b) </w:t>
            </w:r>
          </w:p>
        </w:tc>
        <w:tc>
          <w:tcPr>
            <w:tcW w:w="1275" w:type="dxa"/>
            <w:tcBorders>
              <w:top w:val="nil"/>
              <w:left w:val="nil"/>
              <w:bottom w:val="single" w:sz="4" w:space="0" w:color="auto"/>
              <w:right w:val="single" w:sz="4" w:space="0" w:color="auto"/>
            </w:tcBorders>
            <w:shd w:val="clear" w:color="000000" w:fill="FFFFFF"/>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555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696 </w:t>
            </w:r>
          </w:p>
        </w:tc>
      </w:tr>
      <w:tr w:rsidR="00EA4B72" w:rsidRPr="0084733B" w:rsidTr="00582814">
        <w:trPr>
          <w:trHeight w:val="302"/>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5.a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sz w:val="20"/>
                <w:szCs w:val="20"/>
              </w:rPr>
            </w:pPr>
            <w:r w:rsidRPr="0084733B">
              <w:rPr>
                <w:rFonts w:ascii="Times New Roman CE" w:eastAsia="Times New Roman" w:hAnsi="Times New Roman CE" w:cs="Times New Roman CE"/>
                <w:sz w:val="20"/>
                <w:szCs w:val="20"/>
              </w:rPr>
              <w:t xml:space="preserve"> someri peste 45 ani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sz w:val="20"/>
                <w:szCs w:val="20"/>
              </w:rPr>
            </w:pPr>
            <w:r w:rsidRPr="0084733B">
              <w:rPr>
                <w:rFonts w:ascii="Times New Roman CE" w:eastAsia="Times New Roman" w:hAnsi="Times New Roman CE" w:cs="Times New Roman CE"/>
                <w:sz w:val="20"/>
                <w:szCs w:val="20"/>
              </w:rPr>
              <w:t xml:space="preserve">                       550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690 </w:t>
            </w:r>
          </w:p>
        </w:tc>
      </w:tr>
      <w:tr w:rsidR="00EA4B72" w:rsidRPr="0084733B" w:rsidTr="00582814">
        <w:trPr>
          <w:trHeight w:val="31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5.b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sz w:val="20"/>
                <w:szCs w:val="20"/>
              </w:rPr>
            </w:pPr>
            <w:r w:rsidRPr="0084733B">
              <w:rPr>
                <w:rFonts w:ascii="Times New Roman CE" w:eastAsia="Times New Roman" w:hAnsi="Times New Roman CE" w:cs="Times New Roman CE"/>
                <w:sz w:val="20"/>
                <w:szCs w:val="20"/>
              </w:rPr>
              <w:t xml:space="preserve"> someri parinti unici sustinatori ai familiilor monoparentale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sz w:val="20"/>
                <w:szCs w:val="20"/>
              </w:rPr>
            </w:pPr>
            <w:r w:rsidRPr="0084733B">
              <w:rPr>
                <w:rFonts w:ascii="Times New Roman CE" w:eastAsia="Times New Roman" w:hAnsi="Times New Roman CE" w:cs="Times New Roman CE"/>
                <w:sz w:val="20"/>
                <w:szCs w:val="20"/>
              </w:rPr>
              <w:t xml:space="preserve">                           5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6 </w:t>
            </w:r>
          </w:p>
        </w:tc>
      </w:tr>
      <w:tr w:rsidR="00EA4B72" w:rsidRPr="0084733B" w:rsidTr="00582814">
        <w:trPr>
          <w:trHeight w:val="49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6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Acordarea de subventii angajatorilor care incadreaza in munca tineri NEETS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100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125 </w:t>
            </w:r>
          </w:p>
        </w:tc>
      </w:tr>
      <w:tr w:rsidR="00EA4B72" w:rsidRPr="0084733B" w:rsidTr="00582814">
        <w:trPr>
          <w:trHeight w:val="49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7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Acordarea de subventii angajatorilor care incadreaza in munca someri neindemnizati (SLD)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5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   </w:t>
            </w:r>
          </w:p>
        </w:tc>
      </w:tr>
      <w:tr w:rsidR="00EA4B72" w:rsidRPr="0084733B" w:rsidTr="00582814">
        <w:trPr>
          <w:trHeight w:val="55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8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Incadrarea somerilor care mai au 5 ani pana la pensie prin subventionarea locului de munca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5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3 </w:t>
            </w:r>
          </w:p>
        </w:tc>
      </w:tr>
      <w:tr w:rsidR="00EA4B72" w:rsidRPr="0084733B" w:rsidTr="00582814">
        <w:trPr>
          <w:trHeight w:val="55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9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Incadrarea prin stimularea mobilitatii fortei de munca, total, din care: rd 7 = rd (7.a +7.b)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20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11 </w:t>
            </w:r>
          </w:p>
        </w:tc>
      </w:tr>
      <w:tr w:rsidR="00EA4B72" w:rsidRPr="0084733B" w:rsidTr="00582814">
        <w:trPr>
          <w:trHeight w:val="49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9.a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sz w:val="20"/>
                <w:szCs w:val="20"/>
              </w:rPr>
            </w:pPr>
            <w:r w:rsidRPr="0084733B">
              <w:rPr>
                <w:rFonts w:ascii="Times New Roman" w:eastAsia="Times New Roman" w:hAnsi="Times New Roman"/>
                <w:sz w:val="20"/>
                <w:szCs w:val="20"/>
              </w:rPr>
              <w:t xml:space="preserve"> pentru incadrarea la o distanta mai mare de 15  km (prima de incadrare)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sz w:val="20"/>
                <w:szCs w:val="20"/>
              </w:rPr>
            </w:pPr>
            <w:r w:rsidRPr="0084733B">
              <w:rPr>
                <w:rFonts w:ascii="Times New Roman" w:eastAsia="Times New Roman" w:hAnsi="Times New Roman"/>
                <w:sz w:val="20"/>
                <w:szCs w:val="20"/>
              </w:rPr>
              <w:t xml:space="preserve">                           5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2 </w:t>
            </w:r>
          </w:p>
        </w:tc>
      </w:tr>
      <w:tr w:rsidR="00EA4B72" w:rsidRPr="0084733B" w:rsidTr="00582814">
        <w:trPr>
          <w:trHeight w:val="52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9.b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sz w:val="20"/>
                <w:szCs w:val="20"/>
              </w:rPr>
            </w:pPr>
            <w:r w:rsidRPr="0084733B">
              <w:rPr>
                <w:rFonts w:ascii="Times New Roman CE" w:eastAsia="Times New Roman" w:hAnsi="Times New Roman CE" w:cs="Times New Roman CE"/>
                <w:sz w:val="20"/>
                <w:szCs w:val="20"/>
              </w:rPr>
              <w:t xml:space="preserve"> Incadrarea intr-o localitate la distanta de peste 50 Km. cu schimbare de domiciliu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CE" w:eastAsia="Times New Roman" w:hAnsi="Times New Roman CE" w:cs="Times New Roman CE"/>
                <w:sz w:val="20"/>
                <w:szCs w:val="20"/>
              </w:rPr>
            </w:pPr>
            <w:r w:rsidRPr="0084733B">
              <w:rPr>
                <w:rFonts w:ascii="Times New Roman CE" w:eastAsia="Times New Roman" w:hAnsi="Times New Roman CE" w:cs="Times New Roman CE"/>
                <w:sz w:val="20"/>
                <w:szCs w:val="20"/>
              </w:rPr>
              <w:t xml:space="preserve">                           5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   </w:t>
            </w:r>
          </w:p>
        </w:tc>
      </w:tr>
      <w:tr w:rsidR="00EA4B72" w:rsidRPr="0084733B" w:rsidTr="00582814">
        <w:trPr>
          <w:trHeight w:val="433"/>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9.c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sz w:val="20"/>
                <w:szCs w:val="20"/>
              </w:rPr>
            </w:pPr>
            <w:r w:rsidRPr="0084733B">
              <w:rPr>
                <w:rFonts w:ascii="Times New Roman" w:eastAsia="Times New Roman" w:hAnsi="Times New Roman"/>
                <w:sz w:val="20"/>
                <w:szCs w:val="20"/>
              </w:rPr>
              <w:t xml:space="preserve"> prima de relocare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sz w:val="20"/>
                <w:szCs w:val="20"/>
              </w:rPr>
            </w:pPr>
            <w:r w:rsidRPr="0084733B">
              <w:rPr>
                <w:rFonts w:ascii="Times New Roman" w:eastAsia="Times New Roman" w:hAnsi="Times New Roman"/>
                <w:sz w:val="20"/>
                <w:szCs w:val="20"/>
              </w:rPr>
              <w:t xml:space="preserve">                         10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9 </w:t>
            </w:r>
          </w:p>
        </w:tc>
      </w:tr>
      <w:tr w:rsidR="00EA4B72" w:rsidRPr="0084733B" w:rsidTr="00582814">
        <w:trPr>
          <w:trHeight w:val="52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10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Acordarea de subventii angajatorilor care incadreaza in munca absolventi de invatamant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100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49 </w:t>
            </w:r>
          </w:p>
        </w:tc>
      </w:tr>
      <w:tr w:rsidR="00EA4B72" w:rsidRPr="0084733B" w:rsidTr="00582814">
        <w:trPr>
          <w:trHeight w:val="419"/>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11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Acordarea de prima de insertie absolventilor de invatamant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10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 </w:t>
            </w:r>
          </w:p>
        </w:tc>
      </w:tr>
      <w:tr w:rsidR="00EA4B72" w:rsidRPr="0084733B" w:rsidTr="00582814">
        <w:trPr>
          <w:trHeight w:val="495"/>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12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Acordarea de subventii angajatorilor care incadreaza in munca persoane cu handicap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10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3 </w:t>
            </w:r>
          </w:p>
        </w:tc>
      </w:tr>
      <w:tr w:rsidR="00EA4B72" w:rsidRPr="0084733B" w:rsidTr="00582814">
        <w:trPr>
          <w:trHeight w:val="544"/>
        </w:trPr>
        <w:tc>
          <w:tcPr>
            <w:tcW w:w="577" w:type="dxa"/>
            <w:tcBorders>
              <w:top w:val="nil"/>
              <w:left w:val="single" w:sz="4" w:space="0" w:color="auto"/>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15 </w:t>
            </w:r>
          </w:p>
        </w:tc>
        <w:tc>
          <w:tcPr>
            <w:tcW w:w="5534"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Acordarea de subventii la angajatorii de insertie, pe baza contractelor de solidaritate </w:t>
            </w:r>
          </w:p>
        </w:tc>
        <w:tc>
          <w:tcPr>
            <w:tcW w:w="1275" w:type="dxa"/>
            <w:tcBorders>
              <w:top w:val="nil"/>
              <w:left w:val="nil"/>
              <w:bottom w:val="single" w:sz="4" w:space="0" w:color="auto"/>
              <w:right w:val="single" w:sz="4" w:space="0" w:color="auto"/>
            </w:tcBorders>
            <w:shd w:val="clear" w:color="auto" w:fill="auto"/>
            <w:hideMark/>
          </w:tcPr>
          <w:p w:rsidR="00EA4B72" w:rsidRPr="0084733B" w:rsidRDefault="00EA4B72" w:rsidP="00582814">
            <w:pPr>
              <w:spacing w:after="0" w:line="240" w:lineRule="auto"/>
              <w:ind w:left="0"/>
              <w:jc w:val="left"/>
              <w:rPr>
                <w:rFonts w:ascii="Times New Roman" w:eastAsia="Times New Roman" w:hAnsi="Times New Roman"/>
                <w:b/>
                <w:bCs/>
                <w:sz w:val="20"/>
                <w:szCs w:val="20"/>
              </w:rPr>
            </w:pPr>
            <w:r w:rsidRPr="0084733B">
              <w:rPr>
                <w:rFonts w:ascii="Times New Roman" w:eastAsia="Times New Roman" w:hAnsi="Times New Roman"/>
                <w:b/>
                <w:bCs/>
                <w:sz w:val="20"/>
                <w:szCs w:val="20"/>
              </w:rPr>
              <w:t xml:space="preserve">                           5 </w:t>
            </w:r>
          </w:p>
        </w:tc>
        <w:tc>
          <w:tcPr>
            <w:tcW w:w="1394" w:type="dxa"/>
            <w:tcBorders>
              <w:top w:val="nil"/>
              <w:left w:val="nil"/>
              <w:bottom w:val="single" w:sz="4" w:space="0" w:color="auto"/>
              <w:right w:val="single" w:sz="4" w:space="0" w:color="auto"/>
            </w:tcBorders>
            <w:shd w:val="clear" w:color="auto" w:fill="auto"/>
            <w:noWrap/>
            <w:vAlign w:val="center"/>
            <w:hideMark/>
          </w:tcPr>
          <w:p w:rsidR="00EA4B72" w:rsidRPr="0084733B" w:rsidRDefault="00EA4B72" w:rsidP="00582814">
            <w:pPr>
              <w:spacing w:after="0" w:line="240" w:lineRule="auto"/>
              <w:ind w:left="0"/>
              <w:jc w:val="center"/>
              <w:rPr>
                <w:rFonts w:ascii="Times New Roman CE" w:eastAsia="Times New Roman" w:hAnsi="Times New Roman CE" w:cs="Times New Roman CE"/>
                <w:b/>
                <w:bCs/>
                <w:sz w:val="20"/>
                <w:szCs w:val="20"/>
              </w:rPr>
            </w:pPr>
            <w:r w:rsidRPr="0084733B">
              <w:rPr>
                <w:rFonts w:ascii="Times New Roman CE" w:eastAsia="Times New Roman" w:hAnsi="Times New Roman CE" w:cs="Times New Roman CE"/>
                <w:b/>
                <w:bCs/>
                <w:sz w:val="20"/>
                <w:szCs w:val="20"/>
              </w:rPr>
              <w:t xml:space="preserve">                           -   </w:t>
            </w:r>
          </w:p>
        </w:tc>
      </w:tr>
    </w:tbl>
    <w:p w:rsidR="00582CEB" w:rsidRDefault="00582CEB" w:rsidP="0018061D">
      <w:pPr>
        <w:spacing w:after="0" w:line="360" w:lineRule="auto"/>
        <w:ind w:left="0" w:firstLine="720"/>
        <w:rPr>
          <w:rFonts w:eastAsia="Times New Roman" w:cs="Arial"/>
          <w:sz w:val="24"/>
          <w:szCs w:val="24"/>
          <w:lang w:val="ro-RO" w:eastAsia="ro-RO"/>
        </w:rPr>
      </w:pPr>
    </w:p>
    <w:p w:rsidR="00EA4B72" w:rsidRPr="005912FB" w:rsidRDefault="00EA4B72" w:rsidP="00EA4B72">
      <w:pPr>
        <w:spacing w:line="360" w:lineRule="auto"/>
        <w:ind w:left="720" w:firstLine="720"/>
        <w:rPr>
          <w:sz w:val="24"/>
          <w:szCs w:val="24"/>
        </w:rPr>
      </w:pPr>
      <w:r w:rsidRPr="005912FB">
        <w:rPr>
          <w:rFonts w:cs="Arial"/>
          <w:sz w:val="24"/>
          <w:szCs w:val="24"/>
        </w:rPr>
        <w:t>In ceea ce priveș</w:t>
      </w:r>
      <w:r w:rsidR="008B4065">
        <w:rPr>
          <w:rFonts w:cs="Arial"/>
          <w:sz w:val="24"/>
          <w:szCs w:val="24"/>
        </w:rPr>
        <w:t>te situația locurilor de muncă nou înregistrate</w:t>
      </w:r>
      <w:r w:rsidRPr="005912FB">
        <w:rPr>
          <w:rFonts w:cs="Arial"/>
          <w:sz w:val="24"/>
          <w:szCs w:val="24"/>
        </w:rPr>
        <w:t xml:space="preserve">, </w:t>
      </w:r>
      <w:r w:rsidR="008B4065">
        <w:rPr>
          <w:rFonts w:cs="Arial"/>
          <w:sz w:val="24"/>
          <w:szCs w:val="24"/>
        </w:rPr>
        <w:t>în anul 2022 au fost  7.550</w:t>
      </w:r>
      <w:r w:rsidRPr="005912FB">
        <w:rPr>
          <w:rFonts w:cs="Arial"/>
          <w:sz w:val="24"/>
          <w:szCs w:val="24"/>
        </w:rPr>
        <w:t xml:space="preserve"> </w:t>
      </w:r>
      <w:r w:rsidR="008B4065">
        <w:rPr>
          <w:rFonts w:cs="Arial"/>
          <w:sz w:val="24"/>
          <w:szCs w:val="24"/>
        </w:rPr>
        <w:t xml:space="preserve">locuri de muncă </w:t>
      </w:r>
      <w:r w:rsidRPr="005912FB">
        <w:rPr>
          <w:rFonts w:cs="Arial"/>
          <w:sz w:val="24"/>
          <w:szCs w:val="24"/>
        </w:rPr>
        <w:t>vacante.</w:t>
      </w:r>
      <w:r w:rsidRPr="005912FB">
        <w:rPr>
          <w:sz w:val="24"/>
          <w:szCs w:val="24"/>
        </w:rPr>
        <w:t xml:space="preserve">       </w:t>
      </w:r>
    </w:p>
    <w:p w:rsidR="00362A5F" w:rsidRDefault="00EA4B72" w:rsidP="00EA4B72">
      <w:pPr>
        <w:spacing w:after="0" w:line="360" w:lineRule="auto"/>
        <w:ind w:left="720" w:firstLine="720"/>
        <w:rPr>
          <w:rFonts w:eastAsia="Times New Roman" w:cs="Arial"/>
          <w:sz w:val="24"/>
          <w:szCs w:val="24"/>
          <w:lang w:val="ro-RO" w:eastAsia="ro-RO"/>
        </w:rPr>
      </w:pPr>
      <w:r w:rsidRPr="005912FB">
        <w:rPr>
          <w:rFonts w:cs="Arial"/>
          <w:sz w:val="24"/>
          <w:szCs w:val="24"/>
        </w:rPr>
        <w:t xml:space="preserve">Din analiza </w:t>
      </w:r>
      <w:r w:rsidR="008B4065">
        <w:rPr>
          <w:rFonts w:cs="Arial"/>
          <w:sz w:val="24"/>
          <w:szCs w:val="24"/>
        </w:rPr>
        <w:t>acestora</w:t>
      </w:r>
      <w:r w:rsidRPr="005912FB">
        <w:rPr>
          <w:rFonts w:cs="Arial"/>
          <w:sz w:val="24"/>
          <w:szCs w:val="24"/>
        </w:rPr>
        <w:t>, comparativ cu anul precedent, se constată, relativ, aceeași nevoie de forță de muncă a angajatorilor. Astfel, cea mai mare cerere o constituie aceea de muncitori necalificați(în diverse domenii), conduc</w:t>
      </w:r>
      <w:r w:rsidR="008B4065">
        <w:rPr>
          <w:rFonts w:cs="Arial"/>
          <w:sz w:val="24"/>
          <w:szCs w:val="24"/>
        </w:rPr>
        <w:t>ă</w:t>
      </w:r>
      <w:r w:rsidRPr="005912FB">
        <w:rPr>
          <w:rFonts w:cs="Arial"/>
          <w:sz w:val="24"/>
          <w:szCs w:val="24"/>
        </w:rPr>
        <w:t>tor auto, lucr</w:t>
      </w:r>
      <w:r w:rsidR="008B4065">
        <w:rPr>
          <w:rFonts w:cs="Arial"/>
          <w:sz w:val="24"/>
          <w:szCs w:val="24"/>
        </w:rPr>
        <w:t>ă</w:t>
      </w:r>
      <w:r w:rsidR="00411AD2">
        <w:rPr>
          <w:rFonts w:cs="Arial"/>
          <w:sz w:val="24"/>
          <w:szCs w:val="24"/>
        </w:rPr>
        <w:t xml:space="preserve">tor comercial </w:t>
      </w:r>
      <w:r w:rsidR="00411AD2">
        <w:rPr>
          <w:rFonts w:cs="Arial"/>
          <w:sz w:val="24"/>
          <w:szCs w:val="24"/>
          <w:lang w:val="ro-RO"/>
        </w:rPr>
        <w:t>și</w:t>
      </w:r>
      <w:r w:rsidRPr="005912FB">
        <w:rPr>
          <w:rFonts w:cs="Arial"/>
          <w:sz w:val="24"/>
          <w:szCs w:val="24"/>
        </w:rPr>
        <w:t xml:space="preserve"> montator subansamble.</w:t>
      </w:r>
      <w:r w:rsidR="00362A5F" w:rsidRPr="00254E1F">
        <w:rPr>
          <w:rFonts w:eastAsia="Times New Roman" w:cs="Arial"/>
          <w:sz w:val="24"/>
          <w:szCs w:val="24"/>
          <w:lang w:val="ro-RO" w:eastAsia="ro-RO"/>
        </w:rPr>
        <w:t xml:space="preserve"> </w:t>
      </w:r>
    </w:p>
    <w:p w:rsidR="00EA4B72" w:rsidRPr="00EA4B72" w:rsidRDefault="00EA4B72" w:rsidP="00EA4B72">
      <w:pPr>
        <w:spacing w:line="360" w:lineRule="auto"/>
        <w:ind w:left="720" w:firstLine="720"/>
        <w:rPr>
          <w:color w:val="000000"/>
          <w:sz w:val="24"/>
          <w:szCs w:val="24"/>
        </w:rPr>
      </w:pPr>
      <w:r w:rsidRPr="00EA4B72">
        <w:rPr>
          <w:color w:val="000000"/>
          <w:sz w:val="24"/>
          <w:szCs w:val="24"/>
        </w:rPr>
        <w:t xml:space="preserve">În funcție de clasificarea după domeniile de activitate, cele mai multe oferte de locuri de muncă vacante au fost din domeniile: </w:t>
      </w:r>
    </w:p>
    <w:tbl>
      <w:tblPr>
        <w:tblW w:w="7783" w:type="dxa"/>
        <w:tblInd w:w="93" w:type="dxa"/>
        <w:tblLook w:val="04A0" w:firstRow="1" w:lastRow="0" w:firstColumn="1" w:lastColumn="0" w:noHBand="0" w:noVBand="1"/>
      </w:tblPr>
      <w:tblGrid>
        <w:gridCol w:w="7783"/>
      </w:tblGrid>
      <w:tr w:rsidR="00EA4B72" w:rsidRPr="00C6188E" w:rsidTr="00582814">
        <w:trPr>
          <w:trHeight w:val="1200"/>
        </w:trPr>
        <w:tc>
          <w:tcPr>
            <w:tcW w:w="7783" w:type="dxa"/>
            <w:tcBorders>
              <w:top w:val="nil"/>
              <w:left w:val="nil"/>
              <w:bottom w:val="nil"/>
              <w:right w:val="nil"/>
            </w:tcBorders>
            <w:shd w:val="clear" w:color="auto" w:fill="auto"/>
            <w:vAlign w:val="center"/>
          </w:tcPr>
          <w:tbl>
            <w:tblPr>
              <w:tblW w:w="6890" w:type="dxa"/>
              <w:tblInd w:w="667" w:type="dxa"/>
              <w:tblLook w:val="04A0" w:firstRow="1" w:lastRow="0" w:firstColumn="1" w:lastColumn="0" w:noHBand="0" w:noVBand="1"/>
            </w:tblPr>
            <w:tblGrid>
              <w:gridCol w:w="680"/>
              <w:gridCol w:w="6210"/>
            </w:tblGrid>
            <w:tr w:rsidR="00EA4B72" w:rsidRPr="00C6188E" w:rsidTr="00582814">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1</w:t>
                  </w:r>
                </w:p>
              </w:tc>
              <w:tc>
                <w:tcPr>
                  <w:tcW w:w="6210" w:type="dxa"/>
                  <w:tcBorders>
                    <w:top w:val="single" w:sz="4" w:space="0" w:color="auto"/>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Lucrari de constructii a cladirilor rezidentiale si nerezidentiale</w:t>
                  </w:r>
                </w:p>
              </w:tc>
            </w:tr>
            <w:tr w:rsidR="00EA4B72" w:rsidRPr="00C6188E" w:rsidTr="00582814">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2</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Fabricarea altor piese si accesorii pentru autovehicule si pentru motoare de autovehicule</w:t>
                  </w:r>
                </w:p>
              </w:tc>
            </w:tr>
            <w:tr w:rsidR="00EA4B72" w:rsidRPr="00C6188E" w:rsidTr="00582814">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3</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Fabricarea de echipamente electrice si electronice pentru autovehicule si pentru motoare de autovehicule</w:t>
                  </w:r>
                </w:p>
              </w:tc>
            </w:tr>
            <w:tr w:rsidR="00EA4B72" w:rsidRPr="00C6188E" w:rsidTr="00582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4</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Fabricarea altor articole de imbracaminte (exclusiv lenjeria de corp)</w:t>
                  </w:r>
                </w:p>
              </w:tc>
            </w:tr>
            <w:tr w:rsidR="00EA4B72" w:rsidRPr="00C6188E" w:rsidTr="00582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5</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Fabricarea painii; fabricarea prajiturilor si a produselor proaspete de patiserie</w:t>
                  </w:r>
                </w:p>
              </w:tc>
            </w:tr>
            <w:tr w:rsidR="00EA4B72" w:rsidRPr="00C6188E" w:rsidTr="00582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6</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Fabricarea de constructii metalice si parti componente ale structurilor metalice</w:t>
                  </w:r>
                </w:p>
              </w:tc>
            </w:tr>
            <w:tr w:rsidR="00EA4B72" w:rsidRPr="00C6188E" w:rsidTr="0058281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7</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Lucrari de instalatii electrice</w:t>
                  </w:r>
                </w:p>
              </w:tc>
            </w:tr>
            <w:tr w:rsidR="00EA4B72" w:rsidRPr="00C6188E" w:rsidTr="00582814">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8</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Fabricarea altor produse din material plastic</w:t>
                  </w:r>
                </w:p>
              </w:tc>
            </w:tr>
            <w:tr w:rsidR="00EA4B72" w:rsidRPr="00C6188E" w:rsidTr="00582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9</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Fabricarea altor articole de imbracaminte si accesorii n.c.a.</w:t>
                  </w:r>
                </w:p>
              </w:tc>
            </w:tr>
            <w:tr w:rsidR="00EA4B72" w:rsidRPr="00C6188E" w:rsidTr="00582814">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right"/>
                    <w:rPr>
                      <w:rFonts w:ascii="Calibri" w:eastAsia="Times New Roman" w:hAnsi="Calibri"/>
                      <w:color w:val="000000"/>
                    </w:rPr>
                  </w:pPr>
                  <w:r w:rsidRPr="00C6188E">
                    <w:rPr>
                      <w:rFonts w:ascii="Calibri" w:eastAsia="Times New Roman" w:hAnsi="Calibri"/>
                      <w:color w:val="000000"/>
                    </w:rPr>
                    <w:t>10</w:t>
                  </w:r>
                </w:p>
              </w:tc>
              <w:tc>
                <w:tcPr>
                  <w:tcW w:w="6210" w:type="dxa"/>
                  <w:tcBorders>
                    <w:top w:val="nil"/>
                    <w:left w:val="nil"/>
                    <w:bottom w:val="single" w:sz="4" w:space="0" w:color="auto"/>
                    <w:right w:val="single" w:sz="4" w:space="0" w:color="auto"/>
                  </w:tcBorders>
                  <w:shd w:val="clear" w:color="auto" w:fill="auto"/>
                  <w:vAlign w:val="center"/>
                  <w:hideMark/>
                </w:tcPr>
                <w:p w:rsidR="00EA4B72" w:rsidRPr="00C6188E" w:rsidRDefault="00EA4B72" w:rsidP="00582814">
                  <w:pPr>
                    <w:spacing w:after="0" w:line="240" w:lineRule="auto"/>
                    <w:ind w:left="0"/>
                    <w:jc w:val="left"/>
                    <w:rPr>
                      <w:rFonts w:ascii="Calibri" w:eastAsia="Times New Roman" w:hAnsi="Calibri"/>
                      <w:color w:val="000000"/>
                    </w:rPr>
                  </w:pPr>
                  <w:r w:rsidRPr="00C6188E">
                    <w:rPr>
                      <w:rFonts w:ascii="Calibri" w:eastAsia="Times New Roman" w:hAnsi="Calibri"/>
                      <w:color w:val="000000"/>
                    </w:rPr>
                    <w:t>Lucrari de constructii a drumurilor si autostrazilor</w:t>
                  </w:r>
                </w:p>
              </w:tc>
            </w:tr>
          </w:tbl>
          <w:p w:rsidR="00EA4B72" w:rsidRPr="00C6188E" w:rsidRDefault="00EA4B72" w:rsidP="00582814">
            <w:pPr>
              <w:spacing w:after="0" w:line="240" w:lineRule="auto"/>
              <w:ind w:left="0"/>
              <w:jc w:val="left"/>
              <w:rPr>
                <w:rFonts w:ascii="Calibri" w:eastAsia="Times New Roman" w:hAnsi="Calibri"/>
                <w:color w:val="000000"/>
              </w:rPr>
            </w:pPr>
          </w:p>
        </w:tc>
      </w:tr>
    </w:tbl>
    <w:p w:rsidR="00EA4B72" w:rsidRDefault="00EA4B72" w:rsidP="00EA4B72">
      <w:pPr>
        <w:spacing w:after="0" w:line="360" w:lineRule="auto"/>
        <w:ind w:left="720" w:firstLine="720"/>
        <w:rPr>
          <w:rFonts w:eastAsia="Times New Roman" w:cs="Arial"/>
          <w:sz w:val="24"/>
          <w:szCs w:val="24"/>
          <w:lang w:val="ro-RO" w:eastAsia="ro-RO"/>
        </w:rPr>
      </w:pPr>
    </w:p>
    <w:p w:rsidR="005D2C35" w:rsidRDefault="005D2C35" w:rsidP="00EA4B72">
      <w:pPr>
        <w:spacing w:after="0" w:line="360" w:lineRule="auto"/>
        <w:ind w:left="706" w:firstLine="720"/>
        <w:rPr>
          <w:rFonts w:cs="Arial"/>
          <w:bCs/>
          <w:sz w:val="24"/>
          <w:szCs w:val="24"/>
        </w:rPr>
      </w:pPr>
      <w:r w:rsidRPr="00BB64CC">
        <w:rPr>
          <w:rFonts w:cs="Arial"/>
          <w:bCs/>
          <w:sz w:val="24"/>
          <w:szCs w:val="24"/>
        </w:rPr>
        <w:t xml:space="preserve">Pentru </w:t>
      </w:r>
      <w:r w:rsidRPr="00BB64CC">
        <w:rPr>
          <w:sz w:val="24"/>
          <w:szCs w:val="24"/>
        </w:rPr>
        <w:t>facilitarea contactului dintre angajatori şi persoanele aflate în căutarea unui loc de muncă,</w:t>
      </w:r>
      <w:r w:rsidRPr="00BB64CC">
        <w:rPr>
          <w:rFonts w:cs="Arial"/>
          <w:bCs/>
          <w:sz w:val="24"/>
          <w:szCs w:val="24"/>
        </w:rPr>
        <w:t xml:space="preserve"> AJOFM Argeș a organizat în anul 2022 trei </w:t>
      </w:r>
      <w:r w:rsidRPr="00BB64CC">
        <w:rPr>
          <w:rFonts w:cs="Arial"/>
          <w:b/>
          <w:bCs/>
          <w:sz w:val="24"/>
          <w:szCs w:val="24"/>
        </w:rPr>
        <w:t>burse ale locurilor de muncă</w:t>
      </w:r>
      <w:r w:rsidRPr="00BB64CC">
        <w:rPr>
          <w:rFonts w:cs="Arial"/>
          <w:bCs/>
          <w:sz w:val="24"/>
          <w:szCs w:val="24"/>
        </w:rPr>
        <w:t>: una generală, pentru toate categoriile de persoane, una pentru tinerii absolvenţi de învăţamânt și o bursă a locurilor de muncă la solicitarea unui agent economic din domeniul componentelor auto</w:t>
      </w:r>
      <w:r>
        <w:rPr>
          <w:rFonts w:cs="Arial"/>
          <w:bCs/>
          <w:sz w:val="24"/>
          <w:szCs w:val="24"/>
        </w:rPr>
        <w:t>.</w:t>
      </w:r>
    </w:p>
    <w:tbl>
      <w:tblPr>
        <w:tblW w:w="9575"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1900"/>
        <w:gridCol w:w="1420"/>
        <w:gridCol w:w="1480"/>
        <w:gridCol w:w="1720"/>
      </w:tblGrid>
      <w:tr w:rsidR="005D2C35" w:rsidRPr="001A0856" w:rsidTr="005D2C35">
        <w:trPr>
          <w:trHeight w:val="900"/>
        </w:trPr>
        <w:tc>
          <w:tcPr>
            <w:tcW w:w="3055" w:type="dxa"/>
            <w:shd w:val="clear" w:color="auto" w:fill="auto"/>
            <w:noWrap/>
            <w:vAlign w:val="center"/>
            <w:hideMark/>
          </w:tcPr>
          <w:p w:rsidR="005D2C35" w:rsidRPr="001A0856" w:rsidRDefault="005D2C35" w:rsidP="009250E7">
            <w:pPr>
              <w:spacing w:after="0" w:line="240" w:lineRule="auto"/>
              <w:ind w:left="0"/>
              <w:jc w:val="left"/>
              <w:rPr>
                <w:rFonts w:eastAsia="Times New Roman"/>
                <w:b/>
                <w:bCs/>
                <w:color w:val="000000"/>
                <w:lang w:val="ro-RO" w:eastAsia="ro-RO"/>
              </w:rPr>
            </w:pPr>
            <w:r w:rsidRPr="001A0856">
              <w:rPr>
                <w:rFonts w:eastAsia="Times New Roman"/>
                <w:b/>
                <w:bCs/>
                <w:color w:val="000000"/>
                <w:lang w:val="ro-RO" w:eastAsia="ro-RO"/>
              </w:rPr>
              <w:lastRenderedPageBreak/>
              <w:t>BURSA</w:t>
            </w:r>
          </w:p>
        </w:tc>
        <w:tc>
          <w:tcPr>
            <w:tcW w:w="1900" w:type="dxa"/>
            <w:shd w:val="clear" w:color="auto" w:fill="auto"/>
            <w:vAlign w:val="center"/>
            <w:hideMark/>
          </w:tcPr>
          <w:p w:rsidR="005D2C35" w:rsidRPr="001A0856" w:rsidRDefault="005D2C35" w:rsidP="009250E7">
            <w:pPr>
              <w:spacing w:after="0" w:line="240" w:lineRule="auto"/>
              <w:ind w:left="0"/>
              <w:jc w:val="center"/>
              <w:rPr>
                <w:rFonts w:eastAsia="Times New Roman"/>
                <w:b/>
                <w:bCs/>
                <w:color w:val="000000"/>
                <w:lang w:val="ro-RO" w:eastAsia="ro-RO"/>
              </w:rPr>
            </w:pPr>
            <w:r w:rsidRPr="001A0856">
              <w:rPr>
                <w:rFonts w:eastAsia="Times New Roman"/>
                <w:b/>
                <w:bCs/>
                <w:color w:val="000000"/>
                <w:lang w:val="ro-RO" w:eastAsia="ro-RO"/>
              </w:rPr>
              <w:t>Agenți economici contactați</w:t>
            </w:r>
          </w:p>
        </w:tc>
        <w:tc>
          <w:tcPr>
            <w:tcW w:w="1420" w:type="dxa"/>
            <w:shd w:val="clear" w:color="auto" w:fill="auto"/>
            <w:vAlign w:val="center"/>
            <w:hideMark/>
          </w:tcPr>
          <w:p w:rsidR="005D2C35" w:rsidRPr="001A0856" w:rsidRDefault="005D2C35" w:rsidP="009250E7">
            <w:pPr>
              <w:spacing w:after="0" w:line="240" w:lineRule="auto"/>
              <w:ind w:left="0"/>
              <w:jc w:val="center"/>
              <w:rPr>
                <w:rFonts w:eastAsia="Times New Roman"/>
                <w:b/>
                <w:bCs/>
                <w:color w:val="000000"/>
                <w:lang w:val="ro-RO" w:eastAsia="ro-RO"/>
              </w:rPr>
            </w:pPr>
            <w:r w:rsidRPr="001A0856">
              <w:rPr>
                <w:rFonts w:eastAsia="Times New Roman"/>
                <w:b/>
                <w:bCs/>
                <w:color w:val="000000"/>
                <w:lang w:val="ro-RO" w:eastAsia="ro-RO"/>
              </w:rPr>
              <w:t>Agenți economici participanți</w:t>
            </w:r>
          </w:p>
        </w:tc>
        <w:tc>
          <w:tcPr>
            <w:tcW w:w="1480" w:type="dxa"/>
            <w:shd w:val="clear" w:color="auto" w:fill="auto"/>
            <w:vAlign w:val="center"/>
            <w:hideMark/>
          </w:tcPr>
          <w:p w:rsidR="005D2C35" w:rsidRPr="001A0856" w:rsidRDefault="005D2C35" w:rsidP="009250E7">
            <w:pPr>
              <w:spacing w:after="0" w:line="240" w:lineRule="auto"/>
              <w:ind w:left="0"/>
              <w:jc w:val="center"/>
              <w:rPr>
                <w:rFonts w:eastAsia="Times New Roman"/>
                <w:b/>
                <w:bCs/>
                <w:color w:val="000000"/>
                <w:lang w:val="ro-RO" w:eastAsia="ro-RO"/>
              </w:rPr>
            </w:pPr>
            <w:r w:rsidRPr="001A0856">
              <w:rPr>
                <w:rFonts w:eastAsia="Times New Roman"/>
                <w:b/>
                <w:bCs/>
                <w:color w:val="000000"/>
                <w:lang w:val="ro-RO" w:eastAsia="ro-RO"/>
              </w:rPr>
              <w:t>Număr locuri de muncă vacante</w:t>
            </w:r>
          </w:p>
        </w:tc>
        <w:tc>
          <w:tcPr>
            <w:tcW w:w="1720" w:type="dxa"/>
            <w:shd w:val="clear" w:color="auto" w:fill="auto"/>
            <w:vAlign w:val="center"/>
            <w:hideMark/>
          </w:tcPr>
          <w:p w:rsidR="005D2C35" w:rsidRPr="001A0856" w:rsidRDefault="005D2C35" w:rsidP="009250E7">
            <w:pPr>
              <w:spacing w:after="0" w:line="240" w:lineRule="auto"/>
              <w:ind w:left="0"/>
              <w:jc w:val="center"/>
              <w:rPr>
                <w:rFonts w:eastAsia="Times New Roman"/>
                <w:b/>
                <w:bCs/>
                <w:color w:val="000000"/>
                <w:lang w:val="ro-RO" w:eastAsia="ro-RO"/>
              </w:rPr>
            </w:pPr>
            <w:r w:rsidRPr="001A0856">
              <w:rPr>
                <w:rFonts w:eastAsia="Times New Roman"/>
                <w:b/>
                <w:bCs/>
                <w:color w:val="000000"/>
                <w:lang w:val="ro-RO" w:eastAsia="ro-RO"/>
              </w:rPr>
              <w:t>Număr persoane participante</w:t>
            </w:r>
          </w:p>
        </w:tc>
      </w:tr>
      <w:tr w:rsidR="005D2C35" w:rsidRPr="001A0856" w:rsidTr="005D2C35">
        <w:trPr>
          <w:trHeight w:val="405"/>
        </w:trPr>
        <w:tc>
          <w:tcPr>
            <w:tcW w:w="3055" w:type="dxa"/>
            <w:shd w:val="clear" w:color="auto" w:fill="auto"/>
            <w:noWrap/>
            <w:vAlign w:val="bottom"/>
            <w:hideMark/>
          </w:tcPr>
          <w:p w:rsidR="005D2C35" w:rsidRPr="001A0856" w:rsidRDefault="005D2C35" w:rsidP="009250E7">
            <w:pPr>
              <w:spacing w:after="0" w:line="240" w:lineRule="auto"/>
              <w:ind w:left="0"/>
              <w:jc w:val="left"/>
              <w:rPr>
                <w:rFonts w:eastAsia="Times New Roman"/>
                <w:color w:val="000000"/>
                <w:lang w:val="ro-RO" w:eastAsia="ro-RO"/>
              </w:rPr>
            </w:pPr>
            <w:r w:rsidRPr="001A0856">
              <w:rPr>
                <w:rFonts w:eastAsia="Times New Roman"/>
                <w:color w:val="000000"/>
                <w:lang w:val="ro-RO" w:eastAsia="ro-RO"/>
              </w:rPr>
              <w:t>Generală</w:t>
            </w:r>
          </w:p>
        </w:tc>
        <w:tc>
          <w:tcPr>
            <w:tcW w:w="190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1.800</w:t>
            </w:r>
          </w:p>
        </w:tc>
        <w:tc>
          <w:tcPr>
            <w:tcW w:w="142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35</w:t>
            </w:r>
          </w:p>
        </w:tc>
        <w:tc>
          <w:tcPr>
            <w:tcW w:w="148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672</w:t>
            </w:r>
          </w:p>
        </w:tc>
        <w:tc>
          <w:tcPr>
            <w:tcW w:w="172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400</w:t>
            </w:r>
          </w:p>
        </w:tc>
      </w:tr>
      <w:tr w:rsidR="005D2C35" w:rsidRPr="001A0856" w:rsidTr="005D2C35">
        <w:trPr>
          <w:trHeight w:val="450"/>
        </w:trPr>
        <w:tc>
          <w:tcPr>
            <w:tcW w:w="3055" w:type="dxa"/>
            <w:shd w:val="clear" w:color="auto" w:fill="auto"/>
            <w:noWrap/>
            <w:vAlign w:val="bottom"/>
            <w:hideMark/>
          </w:tcPr>
          <w:p w:rsidR="005D2C35" w:rsidRPr="001A0856" w:rsidRDefault="005D2C35" w:rsidP="009250E7">
            <w:pPr>
              <w:spacing w:after="0" w:line="240" w:lineRule="auto"/>
              <w:ind w:left="0"/>
              <w:jc w:val="left"/>
              <w:rPr>
                <w:rFonts w:eastAsia="Times New Roman"/>
                <w:color w:val="000000"/>
                <w:lang w:val="ro-RO" w:eastAsia="ro-RO"/>
              </w:rPr>
            </w:pPr>
            <w:r w:rsidRPr="001A0856">
              <w:rPr>
                <w:rFonts w:eastAsia="Times New Roman"/>
                <w:color w:val="000000"/>
                <w:lang w:val="ro-RO" w:eastAsia="ro-RO"/>
              </w:rPr>
              <w:t>Absolvenți</w:t>
            </w:r>
          </w:p>
        </w:tc>
        <w:tc>
          <w:tcPr>
            <w:tcW w:w="190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3.000</w:t>
            </w:r>
          </w:p>
        </w:tc>
        <w:tc>
          <w:tcPr>
            <w:tcW w:w="142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30</w:t>
            </w:r>
          </w:p>
        </w:tc>
        <w:tc>
          <w:tcPr>
            <w:tcW w:w="148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624</w:t>
            </w:r>
          </w:p>
        </w:tc>
        <w:tc>
          <w:tcPr>
            <w:tcW w:w="172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300</w:t>
            </w:r>
          </w:p>
        </w:tc>
      </w:tr>
      <w:tr w:rsidR="005D2C35" w:rsidRPr="001A0856" w:rsidTr="005D2C35">
        <w:trPr>
          <w:trHeight w:val="450"/>
        </w:trPr>
        <w:tc>
          <w:tcPr>
            <w:tcW w:w="3055" w:type="dxa"/>
            <w:shd w:val="clear" w:color="auto" w:fill="auto"/>
            <w:noWrap/>
            <w:vAlign w:val="bottom"/>
          </w:tcPr>
          <w:p w:rsidR="005D2C35" w:rsidRPr="001A0856" w:rsidRDefault="005D2C35" w:rsidP="005D2C35">
            <w:pPr>
              <w:spacing w:after="0" w:line="240" w:lineRule="auto"/>
              <w:ind w:left="0"/>
              <w:jc w:val="left"/>
              <w:rPr>
                <w:rFonts w:eastAsia="Times New Roman"/>
                <w:color w:val="000000"/>
                <w:lang w:val="ro-RO" w:eastAsia="ro-RO"/>
              </w:rPr>
            </w:pPr>
            <w:r>
              <w:rPr>
                <w:rFonts w:eastAsia="Times New Roman"/>
                <w:color w:val="000000"/>
                <w:lang w:val="ro-RO" w:eastAsia="ro-RO"/>
              </w:rPr>
              <w:t>La solicitarea SC LEONI WIRING SISTEMS SRL</w:t>
            </w:r>
          </w:p>
        </w:tc>
        <w:tc>
          <w:tcPr>
            <w:tcW w:w="190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1</w:t>
            </w:r>
          </w:p>
        </w:tc>
        <w:tc>
          <w:tcPr>
            <w:tcW w:w="142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1</w:t>
            </w:r>
          </w:p>
        </w:tc>
        <w:tc>
          <w:tcPr>
            <w:tcW w:w="148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100</w:t>
            </w:r>
          </w:p>
        </w:tc>
        <w:tc>
          <w:tcPr>
            <w:tcW w:w="1720" w:type="dxa"/>
            <w:shd w:val="clear" w:color="auto" w:fill="auto"/>
            <w:noWrap/>
            <w:vAlign w:val="bottom"/>
          </w:tcPr>
          <w:p w:rsidR="005D2C35" w:rsidRPr="001A0856" w:rsidRDefault="005D2C35" w:rsidP="009250E7">
            <w:pPr>
              <w:spacing w:after="0" w:line="240" w:lineRule="auto"/>
              <w:ind w:left="0"/>
              <w:jc w:val="center"/>
              <w:rPr>
                <w:rFonts w:eastAsia="Times New Roman"/>
                <w:color w:val="000000"/>
                <w:lang w:val="ro-RO" w:eastAsia="ro-RO"/>
              </w:rPr>
            </w:pPr>
            <w:r>
              <w:rPr>
                <w:rFonts w:eastAsia="Times New Roman"/>
                <w:color w:val="000000"/>
                <w:lang w:val="ro-RO" w:eastAsia="ro-RO"/>
              </w:rPr>
              <w:t>54</w:t>
            </w:r>
          </w:p>
        </w:tc>
      </w:tr>
    </w:tbl>
    <w:p w:rsidR="005D2C35" w:rsidRDefault="005D2C35" w:rsidP="00EA4B72">
      <w:pPr>
        <w:spacing w:after="0" w:line="360" w:lineRule="auto"/>
        <w:ind w:left="706" w:firstLine="720"/>
        <w:rPr>
          <w:rFonts w:cs="Arial"/>
          <w:bCs/>
          <w:sz w:val="24"/>
          <w:szCs w:val="24"/>
        </w:rPr>
      </w:pPr>
    </w:p>
    <w:p w:rsidR="0018061D" w:rsidRPr="00DF5C39" w:rsidRDefault="00582CEB" w:rsidP="00EA4B72">
      <w:pPr>
        <w:spacing w:after="0" w:line="360" w:lineRule="auto"/>
        <w:ind w:left="706" w:firstLine="720"/>
        <w:rPr>
          <w:sz w:val="24"/>
          <w:szCs w:val="24"/>
        </w:rPr>
      </w:pPr>
      <w:r>
        <w:rPr>
          <w:sz w:val="24"/>
          <w:szCs w:val="24"/>
        </w:rPr>
        <w:t>Referitor la</w:t>
      </w:r>
      <w:r w:rsidR="0018061D">
        <w:rPr>
          <w:sz w:val="24"/>
          <w:szCs w:val="24"/>
        </w:rPr>
        <w:t xml:space="preserve"> </w:t>
      </w:r>
      <w:r w:rsidR="0018061D" w:rsidRPr="00E16AFC">
        <w:rPr>
          <w:sz w:val="24"/>
          <w:szCs w:val="24"/>
        </w:rPr>
        <w:t>disponibilizările colective</w:t>
      </w:r>
      <w:r w:rsidR="0018061D">
        <w:rPr>
          <w:sz w:val="24"/>
          <w:szCs w:val="24"/>
        </w:rPr>
        <w:t xml:space="preserve">, </w:t>
      </w:r>
      <w:r w:rsidR="00EA4B72">
        <w:rPr>
          <w:sz w:val="24"/>
          <w:szCs w:val="24"/>
        </w:rPr>
        <w:t xml:space="preserve">în anul </w:t>
      </w:r>
      <w:r w:rsidR="0018061D" w:rsidRPr="008A590F">
        <w:rPr>
          <w:sz w:val="24"/>
          <w:szCs w:val="24"/>
        </w:rPr>
        <w:t>2022</w:t>
      </w:r>
      <w:r w:rsidR="0018061D" w:rsidRPr="00DF5C39">
        <w:rPr>
          <w:sz w:val="24"/>
          <w:szCs w:val="24"/>
        </w:rPr>
        <w:t>, num</w:t>
      </w:r>
      <w:r w:rsidR="0018061D">
        <w:rPr>
          <w:sz w:val="24"/>
          <w:szCs w:val="24"/>
        </w:rPr>
        <w:t>ă</w:t>
      </w:r>
      <w:r w:rsidR="0018061D" w:rsidRPr="00DF5C39">
        <w:rPr>
          <w:sz w:val="24"/>
          <w:szCs w:val="24"/>
        </w:rPr>
        <w:t>rul societ</w:t>
      </w:r>
      <w:r w:rsidR="0018061D">
        <w:rPr>
          <w:sz w:val="24"/>
          <w:szCs w:val="24"/>
        </w:rPr>
        <w:t>ăț</w:t>
      </w:r>
      <w:r w:rsidR="0018061D" w:rsidRPr="00DF5C39">
        <w:rPr>
          <w:sz w:val="24"/>
          <w:szCs w:val="24"/>
        </w:rPr>
        <w:t xml:space="preserve">ilor comerciale care </w:t>
      </w:r>
      <w:r w:rsidR="0018061D">
        <w:rPr>
          <w:sz w:val="24"/>
          <w:szCs w:val="24"/>
        </w:rPr>
        <w:t>și-</w:t>
      </w:r>
      <w:r w:rsidR="0018061D" w:rsidRPr="00DF5C39">
        <w:rPr>
          <w:sz w:val="24"/>
          <w:szCs w:val="24"/>
        </w:rPr>
        <w:t>au anun</w:t>
      </w:r>
      <w:r w:rsidR="0018061D">
        <w:rPr>
          <w:sz w:val="24"/>
          <w:szCs w:val="24"/>
        </w:rPr>
        <w:t>ț</w:t>
      </w:r>
      <w:r w:rsidR="0018061D" w:rsidRPr="00DF5C39">
        <w:rPr>
          <w:sz w:val="24"/>
          <w:szCs w:val="24"/>
        </w:rPr>
        <w:t>at inten</w:t>
      </w:r>
      <w:r w:rsidR="0018061D">
        <w:rPr>
          <w:sz w:val="24"/>
          <w:szCs w:val="24"/>
        </w:rPr>
        <w:t>ț</w:t>
      </w:r>
      <w:r w:rsidR="0018061D" w:rsidRPr="00DF5C39">
        <w:rPr>
          <w:sz w:val="24"/>
          <w:szCs w:val="24"/>
        </w:rPr>
        <w:t xml:space="preserve">ia de a </w:t>
      </w:r>
      <w:r w:rsidR="0018061D">
        <w:rPr>
          <w:sz w:val="24"/>
          <w:szCs w:val="24"/>
        </w:rPr>
        <w:t>efectua</w:t>
      </w:r>
      <w:r w:rsidR="0018061D" w:rsidRPr="00DF5C39">
        <w:rPr>
          <w:sz w:val="24"/>
          <w:szCs w:val="24"/>
        </w:rPr>
        <w:t xml:space="preserve"> disponibiliz</w:t>
      </w:r>
      <w:r w:rsidR="0018061D">
        <w:rPr>
          <w:sz w:val="24"/>
          <w:szCs w:val="24"/>
        </w:rPr>
        <w:t>ă</w:t>
      </w:r>
      <w:r w:rsidR="0018061D" w:rsidRPr="00DF5C39">
        <w:rPr>
          <w:sz w:val="24"/>
          <w:szCs w:val="24"/>
        </w:rPr>
        <w:t>ri colective a fost redus, unele dintre ele, cum este cazul firmelor din domeniul construc</w:t>
      </w:r>
      <w:r w:rsidR="0018061D">
        <w:rPr>
          <w:sz w:val="24"/>
          <w:szCs w:val="24"/>
        </w:rPr>
        <w:t>ț</w:t>
      </w:r>
      <w:r w:rsidR="0018061D" w:rsidRPr="00DF5C39">
        <w:rPr>
          <w:sz w:val="24"/>
          <w:szCs w:val="24"/>
        </w:rPr>
        <w:t>iilor civile, nerecurg</w:t>
      </w:r>
      <w:r w:rsidR="0018061D">
        <w:rPr>
          <w:sz w:val="24"/>
          <w:szCs w:val="24"/>
        </w:rPr>
        <w:t>â</w:t>
      </w:r>
      <w:r w:rsidR="0018061D" w:rsidRPr="00DF5C39">
        <w:rPr>
          <w:sz w:val="24"/>
          <w:szCs w:val="24"/>
        </w:rPr>
        <w:t>nd la aceasta form</w:t>
      </w:r>
      <w:r w:rsidR="0018061D">
        <w:rPr>
          <w:sz w:val="24"/>
          <w:szCs w:val="24"/>
        </w:rPr>
        <w:t>ă</w:t>
      </w:r>
      <w:r w:rsidR="0018061D" w:rsidRPr="00DF5C39">
        <w:rPr>
          <w:sz w:val="24"/>
          <w:szCs w:val="24"/>
        </w:rPr>
        <w:t xml:space="preserve"> de concediere, </w:t>
      </w:r>
      <w:r w:rsidR="0018061D">
        <w:rPr>
          <w:sz w:val="24"/>
          <w:szCs w:val="24"/>
        </w:rPr>
        <w:t>î</w:t>
      </w:r>
      <w:r w:rsidR="0018061D" w:rsidRPr="00DF5C39">
        <w:rPr>
          <w:sz w:val="24"/>
          <w:szCs w:val="24"/>
        </w:rPr>
        <w:t>n primul r</w:t>
      </w:r>
      <w:r w:rsidR="0018061D">
        <w:rPr>
          <w:sz w:val="24"/>
          <w:szCs w:val="24"/>
        </w:rPr>
        <w:t>â</w:t>
      </w:r>
      <w:r w:rsidR="0018061D" w:rsidRPr="00DF5C39">
        <w:rPr>
          <w:sz w:val="24"/>
          <w:szCs w:val="24"/>
        </w:rPr>
        <w:t>nd datorit</w:t>
      </w:r>
      <w:r w:rsidR="0018061D">
        <w:rPr>
          <w:sz w:val="24"/>
          <w:szCs w:val="24"/>
        </w:rPr>
        <w:t>ă</w:t>
      </w:r>
      <w:r w:rsidR="0018061D" w:rsidRPr="00DF5C39">
        <w:rPr>
          <w:sz w:val="24"/>
          <w:szCs w:val="24"/>
        </w:rPr>
        <w:t xml:space="preserve"> timpului favorabil ce le-a permis continuarea activit</w:t>
      </w:r>
      <w:r w:rsidR="0018061D">
        <w:rPr>
          <w:sz w:val="24"/>
          <w:szCs w:val="24"/>
        </w:rPr>
        <w:t>ăț</w:t>
      </w:r>
      <w:r w:rsidR="0018061D" w:rsidRPr="00DF5C39">
        <w:rPr>
          <w:sz w:val="24"/>
          <w:szCs w:val="24"/>
        </w:rPr>
        <w:t>ii pe perioada de iarn</w:t>
      </w:r>
      <w:r w:rsidR="0018061D">
        <w:rPr>
          <w:sz w:val="24"/>
          <w:szCs w:val="24"/>
        </w:rPr>
        <w:t>ă</w:t>
      </w:r>
      <w:r w:rsidR="0018061D" w:rsidRPr="00DF5C39">
        <w:rPr>
          <w:sz w:val="24"/>
          <w:szCs w:val="24"/>
        </w:rPr>
        <w:t>.</w:t>
      </w:r>
    </w:p>
    <w:p w:rsidR="0018061D" w:rsidRDefault="0018061D" w:rsidP="0018061D">
      <w:pPr>
        <w:spacing w:after="0" w:line="360" w:lineRule="auto"/>
        <w:ind w:left="0" w:firstLine="706"/>
        <w:rPr>
          <w:sz w:val="24"/>
          <w:szCs w:val="24"/>
        </w:rPr>
      </w:pPr>
    </w:p>
    <w:p w:rsidR="001E38DF" w:rsidRPr="00F37D58" w:rsidRDefault="001E38DF" w:rsidP="004075AF">
      <w:pPr>
        <w:pStyle w:val="BodyText2"/>
        <w:spacing w:after="100" w:afterAutospacing="1" w:line="360" w:lineRule="auto"/>
        <w:ind w:left="706" w:firstLine="720"/>
        <w:rPr>
          <w:rFonts w:ascii="Trebuchet MS" w:hAnsi="Trebuchet MS"/>
          <w:b/>
          <w:u w:val="single"/>
        </w:rPr>
      </w:pPr>
      <w:r w:rsidRPr="00F37D58">
        <w:rPr>
          <w:rFonts w:ascii="Trebuchet MS" w:hAnsi="Trebuchet MS"/>
          <w:b/>
          <w:u w:val="single"/>
        </w:rPr>
        <w:t>Formare profesională</w:t>
      </w:r>
    </w:p>
    <w:p w:rsidR="00DE3C31" w:rsidRPr="00A04C63" w:rsidRDefault="001E38DF" w:rsidP="00DE3C31">
      <w:pPr>
        <w:pStyle w:val="BodyText2"/>
        <w:spacing w:after="0" w:line="360" w:lineRule="auto"/>
        <w:ind w:left="706" w:firstLine="720"/>
        <w:jc w:val="both"/>
        <w:rPr>
          <w:rFonts w:ascii="Trebuchet MS" w:hAnsi="Trebuchet MS"/>
          <w:b/>
        </w:rPr>
      </w:pPr>
      <w:r w:rsidRPr="00A04C63">
        <w:rPr>
          <w:rFonts w:ascii="Trebuchet MS" w:hAnsi="Trebuchet MS"/>
        </w:rPr>
        <w:t>În anul 2022  au fost programate prin Planul Naţional de Formare Profesională 32 de cursuri ( 31  pentru someri si un curs pentru persoane</w:t>
      </w:r>
      <w:r w:rsidR="00411AD2">
        <w:rPr>
          <w:rFonts w:ascii="Trebuchet MS" w:hAnsi="Trebuchet MS"/>
        </w:rPr>
        <w:t xml:space="preserve">le </w:t>
      </w:r>
      <w:r w:rsidRPr="00A04C63">
        <w:rPr>
          <w:rFonts w:ascii="Trebuchet MS" w:hAnsi="Trebuchet MS"/>
        </w:rPr>
        <w:t xml:space="preserve">aflate </w:t>
      </w:r>
      <w:r w:rsidR="00411AD2">
        <w:rPr>
          <w:rFonts w:ascii="Trebuchet MS" w:hAnsi="Trebuchet MS"/>
        </w:rPr>
        <w:t>î</w:t>
      </w:r>
      <w:r w:rsidRPr="00A04C63">
        <w:rPr>
          <w:rFonts w:ascii="Trebuchet MS" w:hAnsi="Trebuchet MS"/>
        </w:rPr>
        <w:t>n</w:t>
      </w:r>
      <w:r w:rsidR="00DE3C31" w:rsidRPr="00A04C63">
        <w:rPr>
          <w:rFonts w:ascii="Trebuchet MS" w:hAnsi="Trebuchet MS"/>
        </w:rPr>
        <w:t xml:space="preserve"> </w:t>
      </w:r>
      <w:r w:rsidRPr="00A04C63">
        <w:rPr>
          <w:rFonts w:ascii="Trebuchet MS" w:hAnsi="Trebuchet MS"/>
        </w:rPr>
        <w:t>deten</w:t>
      </w:r>
      <w:r w:rsidR="00411AD2">
        <w:rPr>
          <w:rFonts w:ascii="Trebuchet MS" w:hAnsi="Trebuchet MS"/>
        </w:rPr>
        <w:t>ț</w:t>
      </w:r>
      <w:r w:rsidRPr="00A04C63">
        <w:rPr>
          <w:rFonts w:ascii="Trebuchet MS" w:hAnsi="Trebuchet MS"/>
        </w:rPr>
        <w:t xml:space="preserve">ie)  la care să participe 434  persoane înregistrate în evidența agenției  </w:t>
      </w:r>
      <w:r w:rsidR="00411AD2">
        <w:rPr>
          <w:rFonts w:ascii="Trebuchet MS" w:hAnsi="Trebuchet MS"/>
        </w:rPr>
        <w:t>ș</w:t>
      </w:r>
      <w:r w:rsidRPr="00A04C63">
        <w:rPr>
          <w:rFonts w:ascii="Trebuchet MS" w:hAnsi="Trebuchet MS"/>
        </w:rPr>
        <w:t>i</w:t>
      </w:r>
      <w:r w:rsidR="00BD406B">
        <w:rPr>
          <w:rFonts w:ascii="Trebuchet MS" w:hAnsi="Trebuchet MS"/>
        </w:rPr>
        <w:t xml:space="preserve"> 10 persoane aflate </w:t>
      </w:r>
      <w:r w:rsidR="00411AD2">
        <w:rPr>
          <w:rFonts w:ascii="Trebuchet MS" w:hAnsi="Trebuchet MS"/>
        </w:rPr>
        <w:t>î</w:t>
      </w:r>
      <w:r w:rsidR="00BD406B">
        <w:rPr>
          <w:rFonts w:ascii="Trebuchet MS" w:hAnsi="Trebuchet MS"/>
        </w:rPr>
        <w:t>n deten</w:t>
      </w:r>
      <w:r w:rsidR="00FB595A">
        <w:rPr>
          <w:rFonts w:ascii="Trebuchet MS" w:hAnsi="Trebuchet MS"/>
        </w:rPr>
        <w:t>ț</w:t>
      </w:r>
      <w:r w:rsidR="00BD406B">
        <w:rPr>
          <w:rFonts w:ascii="Trebuchet MS" w:hAnsi="Trebuchet MS"/>
        </w:rPr>
        <w:t>ie</w:t>
      </w:r>
      <w:r w:rsidRPr="00A04C63">
        <w:rPr>
          <w:rFonts w:ascii="Trebuchet MS" w:hAnsi="Trebuchet MS"/>
        </w:rPr>
        <w:t>. P</w:t>
      </w:r>
      <w:r w:rsidR="00FB595A">
        <w:rPr>
          <w:rFonts w:ascii="Trebuchet MS" w:hAnsi="Trebuchet MS"/>
        </w:rPr>
        <w:t>â</w:t>
      </w:r>
      <w:r w:rsidRPr="00A04C63">
        <w:rPr>
          <w:rFonts w:ascii="Trebuchet MS" w:hAnsi="Trebuchet MS"/>
        </w:rPr>
        <w:t>n</w:t>
      </w:r>
      <w:r w:rsidR="00FB595A">
        <w:rPr>
          <w:rFonts w:ascii="Trebuchet MS" w:hAnsi="Trebuchet MS"/>
        </w:rPr>
        <w:t>ă</w:t>
      </w:r>
      <w:r w:rsidRPr="00A04C63">
        <w:rPr>
          <w:rFonts w:ascii="Trebuchet MS" w:hAnsi="Trebuchet MS"/>
        </w:rPr>
        <w:t xml:space="preserve"> la data de 31.1</w:t>
      </w:r>
      <w:r w:rsidR="00BD406B">
        <w:rPr>
          <w:rFonts w:ascii="Trebuchet MS" w:hAnsi="Trebuchet MS"/>
        </w:rPr>
        <w:t>2</w:t>
      </w:r>
      <w:r w:rsidRPr="00A04C63">
        <w:rPr>
          <w:rFonts w:ascii="Trebuchet MS" w:hAnsi="Trebuchet MS"/>
        </w:rPr>
        <w:t>.2022, au fost organizate 3</w:t>
      </w:r>
      <w:r w:rsidR="00BD406B">
        <w:rPr>
          <w:rFonts w:ascii="Trebuchet MS" w:hAnsi="Trebuchet MS"/>
        </w:rPr>
        <w:t>6</w:t>
      </w:r>
      <w:r w:rsidRPr="00A04C63">
        <w:rPr>
          <w:rFonts w:ascii="Trebuchet MS" w:hAnsi="Trebuchet MS"/>
        </w:rPr>
        <w:t xml:space="preserve"> cursuri în 1</w:t>
      </w:r>
      <w:r w:rsidR="00BD406B">
        <w:rPr>
          <w:rFonts w:ascii="Trebuchet MS" w:hAnsi="Trebuchet MS"/>
        </w:rPr>
        <w:t>4</w:t>
      </w:r>
      <w:r w:rsidRPr="00A04C63">
        <w:rPr>
          <w:rFonts w:ascii="Trebuchet MS" w:hAnsi="Trebuchet MS"/>
        </w:rPr>
        <w:t xml:space="preserve"> meserii/ ocupaţii. La aceste cursuri au fost cuprinse </w:t>
      </w:r>
      <w:r w:rsidR="00BD406B">
        <w:rPr>
          <w:rFonts w:ascii="Trebuchet MS" w:hAnsi="Trebuchet MS"/>
        </w:rPr>
        <w:t>562</w:t>
      </w:r>
      <w:r w:rsidRPr="00A04C63">
        <w:rPr>
          <w:rFonts w:ascii="Trebuchet MS" w:hAnsi="Trebuchet MS"/>
        </w:rPr>
        <w:t xml:space="preserve">   persoane ( </w:t>
      </w:r>
      <w:r w:rsidR="00BD406B">
        <w:rPr>
          <w:rFonts w:ascii="Trebuchet MS" w:hAnsi="Trebuchet MS"/>
        </w:rPr>
        <w:t>312</w:t>
      </w:r>
      <w:r w:rsidRPr="00A04C63">
        <w:rPr>
          <w:rFonts w:ascii="Trebuchet MS" w:hAnsi="Trebuchet MS"/>
        </w:rPr>
        <w:t xml:space="preserve"> şomeri indemnizaţi şi </w:t>
      </w:r>
      <w:r w:rsidR="00BD406B">
        <w:rPr>
          <w:rFonts w:ascii="Trebuchet MS" w:hAnsi="Trebuchet MS"/>
        </w:rPr>
        <w:t>250</w:t>
      </w:r>
      <w:r w:rsidRPr="00A04C63">
        <w:rPr>
          <w:rFonts w:ascii="Trebuchet MS" w:hAnsi="Trebuchet MS"/>
        </w:rPr>
        <w:t xml:space="preserve"> şomeri neindemnizaţi) . Din cele </w:t>
      </w:r>
      <w:r w:rsidR="00BD406B">
        <w:rPr>
          <w:rFonts w:ascii="Trebuchet MS" w:hAnsi="Trebuchet MS"/>
        </w:rPr>
        <w:t>562</w:t>
      </w:r>
      <w:r w:rsidRPr="00A04C63">
        <w:rPr>
          <w:rFonts w:ascii="Trebuchet MS" w:hAnsi="Trebuchet MS"/>
        </w:rPr>
        <w:t xml:space="preserve">  persoane, </w:t>
      </w:r>
      <w:r w:rsidR="00BD406B">
        <w:rPr>
          <w:rFonts w:ascii="Trebuchet MS" w:hAnsi="Trebuchet MS"/>
        </w:rPr>
        <w:t>363</w:t>
      </w:r>
      <w:r w:rsidRPr="00A04C63">
        <w:rPr>
          <w:rFonts w:ascii="Trebuchet MS" w:hAnsi="Trebuchet MS"/>
        </w:rPr>
        <w:t xml:space="preserve"> sunt din mediul rural.</w:t>
      </w:r>
    </w:p>
    <w:p w:rsidR="00DE3C31" w:rsidRPr="00A04C63" w:rsidRDefault="001E38DF" w:rsidP="00DE3C31">
      <w:pPr>
        <w:pStyle w:val="BodyText2"/>
        <w:spacing w:after="0" w:line="360" w:lineRule="auto"/>
        <w:ind w:left="706" w:firstLine="720"/>
        <w:jc w:val="both"/>
        <w:rPr>
          <w:rFonts w:ascii="Trebuchet MS" w:hAnsi="Trebuchet MS"/>
        </w:rPr>
      </w:pPr>
      <w:r w:rsidRPr="00A04C63">
        <w:rPr>
          <w:rFonts w:ascii="Trebuchet MS" w:hAnsi="Trebuchet MS"/>
        </w:rPr>
        <w:t xml:space="preserve">În urma organizării acestor cursuri, la </w:t>
      </w:r>
      <w:r w:rsidR="00411AD2">
        <w:rPr>
          <w:rFonts w:ascii="Trebuchet MS" w:hAnsi="Trebuchet MS"/>
        </w:rPr>
        <w:t xml:space="preserve">finele anului </w:t>
      </w:r>
      <w:r w:rsidRPr="00A04C63">
        <w:rPr>
          <w:rFonts w:ascii="Trebuchet MS" w:hAnsi="Trebuchet MS"/>
        </w:rPr>
        <w:t xml:space="preserve">2022 , au absolvit </w:t>
      </w:r>
      <w:r w:rsidR="00BD406B">
        <w:rPr>
          <w:rFonts w:ascii="Trebuchet MS" w:hAnsi="Trebuchet MS"/>
        </w:rPr>
        <w:t>355</w:t>
      </w:r>
      <w:r w:rsidRPr="00A04C63">
        <w:rPr>
          <w:rFonts w:ascii="Trebuchet MS" w:hAnsi="Trebuchet MS"/>
        </w:rPr>
        <w:t xml:space="preserve">  șomeri din care s-au  încadrat</w:t>
      </w:r>
      <w:r w:rsidR="00411AD2">
        <w:rPr>
          <w:rFonts w:ascii="Trebuchet MS" w:hAnsi="Trebuchet MS"/>
        </w:rPr>
        <w:t xml:space="preserve"> în muncă</w:t>
      </w:r>
      <w:r w:rsidRPr="00A04C63">
        <w:rPr>
          <w:rFonts w:ascii="Trebuchet MS" w:hAnsi="Trebuchet MS"/>
        </w:rPr>
        <w:t xml:space="preserve"> </w:t>
      </w:r>
      <w:r w:rsidR="00BD406B">
        <w:rPr>
          <w:rFonts w:ascii="Trebuchet MS" w:hAnsi="Trebuchet MS"/>
        </w:rPr>
        <w:t>10</w:t>
      </w:r>
      <w:r w:rsidRPr="00A04C63">
        <w:rPr>
          <w:rFonts w:ascii="Trebuchet MS" w:hAnsi="Trebuchet MS"/>
        </w:rPr>
        <w:t>7</w:t>
      </w:r>
      <w:r w:rsidRPr="00A04C63">
        <w:rPr>
          <w:rFonts w:ascii="Trebuchet MS" w:hAnsi="Trebuchet MS"/>
          <w:shd w:val="clear" w:color="auto" w:fill="FFFFFF"/>
        </w:rPr>
        <w:t>.</w:t>
      </w:r>
      <w:r w:rsidR="00BD406B">
        <w:rPr>
          <w:rFonts w:ascii="Trebuchet MS" w:hAnsi="Trebuchet MS"/>
        </w:rPr>
        <w:t xml:space="preserve">  Au abandonat cursurile 34</w:t>
      </w:r>
      <w:r w:rsidRPr="00A04C63">
        <w:rPr>
          <w:rFonts w:ascii="Trebuchet MS" w:hAnsi="Trebuchet MS"/>
        </w:rPr>
        <w:t xml:space="preserve"> şomeri (</w:t>
      </w:r>
      <w:r w:rsidR="00BD406B">
        <w:rPr>
          <w:rFonts w:ascii="Trebuchet MS" w:hAnsi="Trebuchet MS"/>
        </w:rPr>
        <w:t>8</w:t>
      </w:r>
      <w:r w:rsidRPr="00A04C63">
        <w:rPr>
          <w:rFonts w:ascii="Trebuchet MS" w:hAnsi="Trebuchet MS"/>
        </w:rPr>
        <w:t xml:space="preserve">  din motive imputabile și </w:t>
      </w:r>
      <w:r w:rsidR="00BD406B">
        <w:rPr>
          <w:rFonts w:ascii="Trebuchet MS" w:hAnsi="Trebuchet MS"/>
        </w:rPr>
        <w:t>26</w:t>
      </w:r>
      <w:r w:rsidRPr="00A04C63">
        <w:rPr>
          <w:rFonts w:ascii="Trebuchet MS" w:hAnsi="Trebuchet MS"/>
        </w:rPr>
        <w:t xml:space="preserve"> din motive neimputabile). </w:t>
      </w:r>
    </w:p>
    <w:p w:rsidR="001E38DF" w:rsidRPr="00A04C63" w:rsidRDefault="001E38DF" w:rsidP="00DE3C31">
      <w:pPr>
        <w:pStyle w:val="BodyText2"/>
        <w:spacing w:after="0" w:line="360" w:lineRule="auto"/>
        <w:ind w:left="706" w:firstLine="720"/>
        <w:jc w:val="both"/>
        <w:rPr>
          <w:rFonts w:ascii="Trebuchet MS" w:hAnsi="Trebuchet MS"/>
        </w:rPr>
      </w:pPr>
      <w:r w:rsidRPr="00A04C63">
        <w:rPr>
          <w:rFonts w:ascii="Trebuchet MS" w:hAnsi="Trebuchet MS"/>
        </w:rPr>
        <w:t>Cursurile organizate de AJOFM Argeș au fost în următoarele meserii/ocupații :ajutor de bucătar, bucătar, coafor,</w:t>
      </w:r>
      <w:r w:rsidR="00411AD2">
        <w:rPr>
          <w:rFonts w:ascii="Trebuchet MS" w:hAnsi="Trebuchet MS"/>
        </w:rPr>
        <w:t xml:space="preserve"> </w:t>
      </w:r>
      <w:r w:rsidRPr="00A04C63">
        <w:rPr>
          <w:rFonts w:ascii="Trebuchet MS" w:hAnsi="Trebuchet MS"/>
        </w:rPr>
        <w:t xml:space="preserve">contabil, competențe cheie - comunicare în limba română, agent de securitate, lucrător în comerț , infirmieră , inspector resurse umane, instalator instalații tehnico-sanitare și gaze, operator introducere,validare </w:t>
      </w:r>
      <w:r w:rsidR="00411AD2">
        <w:rPr>
          <w:rFonts w:ascii="Trebuchet MS" w:hAnsi="Trebuchet MS"/>
        </w:rPr>
        <w:t>ș</w:t>
      </w:r>
      <w:r w:rsidRPr="00A04C63">
        <w:rPr>
          <w:rFonts w:ascii="Trebuchet MS" w:hAnsi="Trebuchet MS"/>
        </w:rPr>
        <w:t>i prelucrare date și ospătar . Cele mai solicitate au fost: agent de securitate, infirmieră, lucrător în comerț, coafor</w:t>
      </w:r>
      <w:r w:rsidR="00BD406B">
        <w:rPr>
          <w:rFonts w:ascii="Trebuchet MS" w:hAnsi="Trebuchet MS"/>
        </w:rPr>
        <w:t xml:space="preserve"> și</w:t>
      </w:r>
      <w:r w:rsidRPr="00A04C63">
        <w:rPr>
          <w:rFonts w:ascii="Trebuchet MS" w:hAnsi="Trebuchet MS"/>
        </w:rPr>
        <w:t xml:space="preserve"> ajutor bucătar.</w:t>
      </w:r>
    </w:p>
    <w:p w:rsidR="001E38DF" w:rsidRPr="00A04C63" w:rsidRDefault="001E38DF" w:rsidP="00DE3C31">
      <w:pPr>
        <w:pStyle w:val="BodyText2"/>
        <w:spacing w:after="0" w:line="360" w:lineRule="auto"/>
        <w:ind w:left="706" w:firstLine="720"/>
        <w:jc w:val="both"/>
        <w:rPr>
          <w:rFonts w:ascii="Trebuchet MS" w:hAnsi="Trebuchet MS"/>
        </w:rPr>
      </w:pPr>
      <w:r w:rsidRPr="00A04C63">
        <w:rPr>
          <w:rFonts w:ascii="Trebuchet MS" w:hAnsi="Trebuchet MS"/>
        </w:rPr>
        <w:t>În anul 2022, cursurile s-au desfăşurat astfel:</w:t>
      </w:r>
    </w:p>
    <w:p w:rsidR="001E38DF" w:rsidRPr="00411AD2" w:rsidRDefault="001E38DF" w:rsidP="00DE3C31">
      <w:pPr>
        <w:pStyle w:val="BodyText2"/>
        <w:spacing w:after="0" w:line="360" w:lineRule="auto"/>
        <w:ind w:left="706" w:firstLine="2"/>
        <w:jc w:val="both"/>
        <w:rPr>
          <w:rFonts w:ascii="Trebuchet MS" w:hAnsi="Trebuchet MS"/>
          <w:lang w:val="en-US"/>
        </w:rPr>
      </w:pPr>
      <w:r w:rsidRPr="00A04C63">
        <w:rPr>
          <w:rFonts w:ascii="Trebuchet MS" w:hAnsi="Trebuchet MS"/>
        </w:rPr>
        <w:lastRenderedPageBreak/>
        <w:t>- Prin acord de parteneriat cu CRFPA Vâlcea, Dolj și Mehedinți au fost organizate 2</w:t>
      </w:r>
      <w:r w:rsidR="00BD406B">
        <w:rPr>
          <w:rFonts w:ascii="Trebuchet MS" w:hAnsi="Trebuchet MS"/>
        </w:rPr>
        <w:t>6</w:t>
      </w:r>
      <w:r w:rsidRPr="00A04C63">
        <w:rPr>
          <w:rFonts w:ascii="Trebuchet MS" w:hAnsi="Trebuchet MS"/>
        </w:rPr>
        <w:t xml:space="preserve"> cursuri la care au participat </w:t>
      </w:r>
      <w:r w:rsidR="00BD406B">
        <w:rPr>
          <w:rFonts w:ascii="Trebuchet MS" w:hAnsi="Trebuchet MS"/>
        </w:rPr>
        <w:t>400</w:t>
      </w:r>
      <w:r w:rsidRPr="00A04C63">
        <w:rPr>
          <w:rFonts w:ascii="Trebuchet MS" w:hAnsi="Trebuchet MS"/>
        </w:rPr>
        <w:t xml:space="preserve"> persoane și au absolvit 2</w:t>
      </w:r>
      <w:r w:rsidR="00BD406B">
        <w:rPr>
          <w:rFonts w:ascii="Trebuchet MS" w:hAnsi="Trebuchet MS"/>
        </w:rPr>
        <w:t>97</w:t>
      </w:r>
      <w:r w:rsidRPr="00A04C63">
        <w:rPr>
          <w:rFonts w:ascii="Trebuchet MS" w:hAnsi="Trebuchet MS"/>
        </w:rPr>
        <w:t xml:space="preserve"> persoane. În urma absolvirii cursurilor de formare profesională s-au angajat</w:t>
      </w:r>
      <w:r w:rsidR="00BD406B">
        <w:rPr>
          <w:rFonts w:ascii="Trebuchet MS" w:hAnsi="Trebuchet MS"/>
        </w:rPr>
        <w:t xml:space="preserve"> 10</w:t>
      </w:r>
      <w:r w:rsidR="00411AD2">
        <w:rPr>
          <w:rFonts w:ascii="Trebuchet MS" w:hAnsi="Trebuchet MS"/>
        </w:rPr>
        <w:t>7  persoane</w:t>
      </w:r>
      <w:r w:rsidR="00411AD2">
        <w:rPr>
          <w:rFonts w:ascii="Trebuchet MS" w:hAnsi="Trebuchet MS"/>
          <w:lang w:val="en-US"/>
        </w:rPr>
        <w:t>;</w:t>
      </w:r>
    </w:p>
    <w:p w:rsidR="001E38DF" w:rsidRPr="00A04C63" w:rsidRDefault="001E38DF" w:rsidP="001E38DF">
      <w:pPr>
        <w:pStyle w:val="NoSpacing"/>
        <w:spacing w:line="360" w:lineRule="auto"/>
        <w:ind w:left="708"/>
        <w:jc w:val="both"/>
        <w:rPr>
          <w:rFonts w:ascii="Trebuchet MS" w:hAnsi="Trebuchet MS"/>
          <w:sz w:val="24"/>
          <w:szCs w:val="24"/>
          <w:lang w:val="ro-RO"/>
        </w:rPr>
      </w:pPr>
      <w:r w:rsidRPr="00A04C63">
        <w:rPr>
          <w:rFonts w:ascii="Trebuchet MS" w:hAnsi="Trebuchet MS"/>
          <w:sz w:val="24"/>
          <w:szCs w:val="24"/>
          <w:lang w:val="ro-RO"/>
        </w:rPr>
        <w:t xml:space="preserve">- Prin AJOFM Argeș s-au organizat </w:t>
      </w:r>
      <w:r w:rsidR="00BD406B">
        <w:rPr>
          <w:rFonts w:ascii="Trebuchet MS" w:hAnsi="Trebuchet MS"/>
          <w:sz w:val="24"/>
          <w:szCs w:val="24"/>
          <w:lang w:val="ro-RO"/>
        </w:rPr>
        <w:t>3</w:t>
      </w:r>
      <w:r w:rsidRPr="00A04C63">
        <w:rPr>
          <w:rFonts w:ascii="Trebuchet MS" w:hAnsi="Trebuchet MS"/>
          <w:sz w:val="24"/>
          <w:szCs w:val="24"/>
          <w:lang w:val="ro-RO"/>
        </w:rPr>
        <w:t xml:space="preserve">  de cursuri l</w:t>
      </w:r>
      <w:r w:rsidR="003D5A68">
        <w:rPr>
          <w:rFonts w:ascii="Trebuchet MS" w:hAnsi="Trebuchet MS"/>
          <w:sz w:val="24"/>
          <w:szCs w:val="24"/>
          <w:lang w:val="ro-RO"/>
        </w:rPr>
        <w:t>a care au participat 34 șomeri</w:t>
      </w:r>
      <w:r w:rsidR="00411AD2">
        <w:rPr>
          <w:rFonts w:ascii="Trebuchet MS" w:hAnsi="Trebuchet MS"/>
          <w:sz w:val="24"/>
          <w:szCs w:val="24"/>
          <w:lang w:val="ro-RO"/>
        </w:rPr>
        <w:t>.</w:t>
      </w:r>
    </w:p>
    <w:p w:rsidR="001E38DF" w:rsidRPr="00A04C63" w:rsidRDefault="001E38DF" w:rsidP="001E38DF">
      <w:pPr>
        <w:pStyle w:val="NoSpacing"/>
        <w:spacing w:line="360" w:lineRule="auto"/>
        <w:ind w:left="708"/>
        <w:jc w:val="both"/>
        <w:rPr>
          <w:rFonts w:ascii="Trebuchet MS" w:hAnsi="Trebuchet MS"/>
          <w:sz w:val="24"/>
          <w:szCs w:val="24"/>
          <w:lang w:val="ro-RO"/>
        </w:rPr>
      </w:pPr>
      <w:r w:rsidRPr="00A04C63">
        <w:rPr>
          <w:rFonts w:ascii="Trebuchet MS" w:hAnsi="Trebuchet MS"/>
          <w:sz w:val="24"/>
          <w:szCs w:val="24"/>
          <w:lang w:val="ro-RO"/>
        </w:rPr>
        <w:t>La data de 31.1</w:t>
      </w:r>
      <w:r w:rsidR="003D5A68">
        <w:rPr>
          <w:rFonts w:ascii="Trebuchet MS" w:hAnsi="Trebuchet MS"/>
          <w:sz w:val="24"/>
          <w:szCs w:val="24"/>
          <w:lang w:val="ro-RO"/>
        </w:rPr>
        <w:t>2</w:t>
      </w:r>
      <w:r w:rsidRPr="00A04C63">
        <w:rPr>
          <w:rFonts w:ascii="Trebuchet MS" w:hAnsi="Trebuchet MS"/>
          <w:sz w:val="24"/>
          <w:szCs w:val="24"/>
          <w:lang w:val="ro-RO"/>
        </w:rPr>
        <w:t xml:space="preserve">.2022  mai </w:t>
      </w:r>
      <w:r w:rsidR="00411AD2">
        <w:rPr>
          <w:rFonts w:ascii="Trebuchet MS" w:hAnsi="Trebuchet MS"/>
          <w:sz w:val="24"/>
          <w:szCs w:val="24"/>
          <w:lang w:val="ro-RO"/>
        </w:rPr>
        <w:t>erau</w:t>
      </w:r>
      <w:r w:rsidRPr="00A04C63">
        <w:rPr>
          <w:rFonts w:ascii="Trebuchet MS" w:hAnsi="Trebuchet MS"/>
          <w:sz w:val="24"/>
          <w:szCs w:val="24"/>
          <w:lang w:val="ro-RO"/>
        </w:rPr>
        <w:t xml:space="preserve">  în derulare  </w:t>
      </w:r>
      <w:r w:rsidR="003D5A68">
        <w:rPr>
          <w:rFonts w:ascii="Trebuchet MS" w:hAnsi="Trebuchet MS"/>
          <w:sz w:val="24"/>
          <w:szCs w:val="24"/>
          <w:lang w:val="ro-RO"/>
        </w:rPr>
        <w:t>9</w:t>
      </w:r>
      <w:r w:rsidR="00411AD2">
        <w:rPr>
          <w:rFonts w:ascii="Trebuchet MS" w:hAnsi="Trebuchet MS"/>
          <w:sz w:val="24"/>
          <w:szCs w:val="24"/>
          <w:lang w:val="ro-RO"/>
        </w:rPr>
        <w:t xml:space="preserve">  cursuri la care participau</w:t>
      </w:r>
      <w:r w:rsidRPr="00A04C63">
        <w:rPr>
          <w:rFonts w:ascii="Trebuchet MS" w:hAnsi="Trebuchet MS"/>
          <w:sz w:val="24"/>
          <w:szCs w:val="24"/>
          <w:lang w:val="ro-RO"/>
        </w:rPr>
        <w:t xml:space="preserve"> 1</w:t>
      </w:r>
      <w:r w:rsidR="003D5A68">
        <w:rPr>
          <w:rFonts w:ascii="Trebuchet MS" w:hAnsi="Trebuchet MS"/>
          <w:sz w:val="24"/>
          <w:szCs w:val="24"/>
          <w:lang w:val="ro-RO"/>
        </w:rPr>
        <w:t>36</w:t>
      </w:r>
      <w:r w:rsidRPr="00A04C63">
        <w:rPr>
          <w:rFonts w:ascii="Trebuchet MS" w:hAnsi="Trebuchet MS"/>
          <w:sz w:val="24"/>
          <w:szCs w:val="24"/>
          <w:lang w:val="ro-RO"/>
        </w:rPr>
        <w:t xml:space="preserve"> persoane.</w:t>
      </w:r>
    </w:p>
    <w:p w:rsidR="00EA5E59" w:rsidRPr="00A04C63" w:rsidRDefault="00EA5E59" w:rsidP="00DE3C31">
      <w:pPr>
        <w:pStyle w:val="BodyText2"/>
        <w:spacing w:after="0" w:line="360" w:lineRule="auto"/>
        <w:ind w:left="708" w:firstLine="720"/>
        <w:jc w:val="both"/>
        <w:rPr>
          <w:rFonts w:ascii="Trebuchet MS" w:hAnsi="Trebuchet MS" w:cs="Arial"/>
          <w:lang w:val="en-US"/>
        </w:rPr>
      </w:pPr>
      <w:r w:rsidRPr="00A04C63">
        <w:rPr>
          <w:rFonts w:ascii="Trebuchet MS" w:hAnsi="Trebuchet MS"/>
        </w:rPr>
        <w:t xml:space="preserve">De asemenea, prin intermediul unor protocoale de colaborare cu beneficiarii de </w:t>
      </w:r>
      <w:r w:rsidR="00411AD2">
        <w:rPr>
          <w:rFonts w:ascii="Trebuchet MS" w:hAnsi="Trebuchet MS"/>
        </w:rPr>
        <w:t xml:space="preserve">proiecte cu </w:t>
      </w:r>
      <w:r w:rsidRPr="00A04C63">
        <w:rPr>
          <w:rFonts w:ascii="Trebuchet MS" w:hAnsi="Trebuchet MS"/>
        </w:rPr>
        <w:t>finanțare europeană, agenția pune la dispoziția acestora baza de date cu tinerii NEET</w:t>
      </w:r>
      <w:r w:rsidRPr="00A04C63">
        <w:rPr>
          <w:rFonts w:ascii="Trebuchet MS" w:hAnsi="Trebuchet MS"/>
          <w:lang w:val="en-US"/>
        </w:rPr>
        <w:t>’s înregistra</w:t>
      </w:r>
      <w:r w:rsidRPr="00A04C63">
        <w:rPr>
          <w:rFonts w:ascii="Trebuchet MS" w:hAnsi="Trebuchet MS"/>
        </w:rPr>
        <w:t>ți și profilați, în vederea participării acestora la cursuri de formare profesională. Astfel, la data de 31.1</w:t>
      </w:r>
      <w:r w:rsidR="003D5A68">
        <w:rPr>
          <w:rFonts w:ascii="Trebuchet MS" w:hAnsi="Trebuchet MS"/>
        </w:rPr>
        <w:t>2</w:t>
      </w:r>
      <w:r w:rsidRPr="00A04C63">
        <w:rPr>
          <w:rFonts w:ascii="Trebuchet MS" w:hAnsi="Trebuchet MS"/>
        </w:rPr>
        <w:t>.2022, din datele pe care le deținem, au fost</w:t>
      </w:r>
      <w:r w:rsidRPr="00A04C63">
        <w:rPr>
          <w:rFonts w:ascii="Trebuchet MS" w:hAnsi="Trebuchet MS" w:cs="Arial"/>
          <w:lang w:val="en-US"/>
        </w:rPr>
        <w:t xml:space="preserve"> organizate </w:t>
      </w:r>
      <w:r w:rsidR="003D5A68">
        <w:rPr>
          <w:rFonts w:ascii="Trebuchet MS" w:hAnsi="Trebuchet MS" w:cs="Arial"/>
          <w:lang w:val="en-US"/>
        </w:rPr>
        <w:t>7</w:t>
      </w:r>
      <w:r w:rsidRPr="00A04C63">
        <w:rPr>
          <w:rFonts w:ascii="Trebuchet MS" w:hAnsi="Trebuchet MS" w:cs="Arial"/>
          <w:lang w:val="en-US"/>
        </w:rPr>
        <w:t xml:space="preserve"> cursuri(competențe antreprenoriale</w:t>
      </w:r>
      <w:r w:rsidR="003D5A68">
        <w:rPr>
          <w:rFonts w:ascii="Trebuchet MS" w:hAnsi="Trebuchet MS" w:cs="Arial"/>
          <w:lang w:val="en-US"/>
        </w:rPr>
        <w:t xml:space="preserve">, </w:t>
      </w:r>
      <w:r w:rsidRPr="00A04C63">
        <w:rPr>
          <w:rFonts w:ascii="Trebuchet MS" w:hAnsi="Trebuchet MS" w:cs="Arial"/>
          <w:lang w:val="en-US"/>
        </w:rPr>
        <w:t>lucrător în comerț</w:t>
      </w:r>
      <w:r w:rsidR="003D5A68">
        <w:rPr>
          <w:rFonts w:ascii="Trebuchet MS" w:hAnsi="Trebuchet MS" w:cs="Arial"/>
          <w:lang w:val="en-US"/>
        </w:rPr>
        <w:t xml:space="preserve"> și bucătar</w:t>
      </w:r>
      <w:r w:rsidRPr="00A04C63">
        <w:rPr>
          <w:rFonts w:ascii="Trebuchet MS" w:hAnsi="Trebuchet MS" w:cs="Arial"/>
          <w:lang w:val="en-US"/>
        </w:rPr>
        <w:t xml:space="preserve">), la care au participat </w:t>
      </w:r>
      <w:r w:rsidR="003D5A68">
        <w:rPr>
          <w:rFonts w:ascii="Trebuchet MS" w:hAnsi="Trebuchet MS" w:cs="Arial"/>
          <w:lang w:val="en-US"/>
        </w:rPr>
        <w:t>128</w:t>
      </w:r>
      <w:r w:rsidRPr="00A04C63">
        <w:rPr>
          <w:rFonts w:ascii="Trebuchet MS" w:hAnsi="Trebuchet MS" w:cs="Arial"/>
          <w:lang w:val="en-US"/>
        </w:rPr>
        <w:t xml:space="preserve"> tineri NEET’s.</w:t>
      </w:r>
    </w:p>
    <w:p w:rsidR="00EA5E59" w:rsidRDefault="00EA5E59" w:rsidP="00DE3C31">
      <w:pPr>
        <w:pStyle w:val="BodyText2"/>
        <w:spacing w:after="0" w:line="360" w:lineRule="auto"/>
        <w:ind w:left="708" w:firstLine="720"/>
        <w:rPr>
          <w:rFonts w:ascii="Trebuchet MS" w:hAnsi="Trebuchet MS" w:cs="Arial"/>
          <w:lang w:val="en-US"/>
        </w:rPr>
      </w:pPr>
      <w:r>
        <w:rPr>
          <w:rFonts w:ascii="Trebuchet MS" w:hAnsi="Trebuchet MS" w:cs="Arial"/>
        </w:rPr>
        <w:t>La data de 31.1</w:t>
      </w:r>
      <w:r w:rsidR="003D5A68">
        <w:rPr>
          <w:rFonts w:ascii="Trebuchet MS" w:hAnsi="Trebuchet MS" w:cs="Arial"/>
        </w:rPr>
        <w:t>2</w:t>
      </w:r>
      <w:r>
        <w:rPr>
          <w:rFonts w:ascii="Trebuchet MS" w:hAnsi="Trebuchet MS" w:cs="Arial"/>
        </w:rPr>
        <w:t xml:space="preserve">.2022, agenția avea incheiate </w:t>
      </w:r>
      <w:r w:rsidRPr="00205E70">
        <w:rPr>
          <w:rFonts w:ascii="Trebuchet MS" w:hAnsi="Trebuchet MS" w:cs="Arial"/>
          <w:b/>
        </w:rPr>
        <w:t xml:space="preserve">58 protocoale de colaborare cu beneficiarii de </w:t>
      </w:r>
      <w:r w:rsidR="00411AD2">
        <w:rPr>
          <w:rFonts w:ascii="Trebuchet MS" w:hAnsi="Trebuchet MS" w:cs="Arial"/>
          <w:b/>
        </w:rPr>
        <w:t xml:space="preserve">proiecte cu </w:t>
      </w:r>
      <w:r w:rsidRPr="00205E70">
        <w:rPr>
          <w:rFonts w:ascii="Trebuchet MS" w:hAnsi="Trebuchet MS" w:cs="Arial"/>
          <w:b/>
        </w:rPr>
        <w:t>finanțare europeană</w:t>
      </w:r>
      <w:r>
        <w:rPr>
          <w:rFonts w:ascii="Trebuchet MS" w:hAnsi="Trebuchet MS" w:cs="Arial"/>
        </w:rPr>
        <w:t xml:space="preserve">, în cadrul Programului Operațional Capital Uman – Axa Prioritară 1- Inițiativa </w:t>
      </w:r>
      <w:r>
        <w:rPr>
          <w:rFonts w:ascii="Trebuchet MS" w:hAnsi="Trebuchet MS" w:cs="Arial"/>
          <w:lang w:val="en-US"/>
        </w:rPr>
        <w:t xml:space="preserve">“Locuri de </w:t>
      </w:r>
      <w:r>
        <w:rPr>
          <w:rFonts w:ascii="Trebuchet MS" w:hAnsi="Trebuchet MS" w:cs="Arial"/>
        </w:rPr>
        <w:t>muncă pentru tineri</w:t>
      </w:r>
      <w:r>
        <w:rPr>
          <w:rFonts w:ascii="Trebuchet MS" w:hAnsi="Trebuchet MS" w:cs="Arial"/>
          <w:lang w:val="en-US"/>
        </w:rPr>
        <w:t>”, în vederea furnizării bazelor de date.</w:t>
      </w:r>
    </w:p>
    <w:p w:rsidR="00EA5E59" w:rsidRDefault="00EA5E59" w:rsidP="001E38DF">
      <w:pPr>
        <w:pStyle w:val="NoSpacing"/>
        <w:spacing w:line="360" w:lineRule="auto"/>
        <w:ind w:left="708"/>
        <w:jc w:val="both"/>
        <w:rPr>
          <w:rFonts w:ascii="Trebuchet MS" w:hAnsi="Trebuchet MS"/>
          <w:sz w:val="24"/>
          <w:szCs w:val="24"/>
          <w:lang w:val="ro-RO"/>
        </w:rPr>
      </w:pPr>
    </w:p>
    <w:p w:rsidR="00265FD0" w:rsidRPr="00F37D58" w:rsidRDefault="00265FD0" w:rsidP="00702392">
      <w:pPr>
        <w:spacing w:line="360" w:lineRule="auto"/>
        <w:ind w:left="708" w:firstLine="720"/>
        <w:rPr>
          <w:b/>
          <w:sz w:val="24"/>
          <w:szCs w:val="24"/>
          <w:u w:val="single"/>
        </w:rPr>
      </w:pPr>
      <w:r w:rsidRPr="00F37D58">
        <w:rPr>
          <w:b/>
          <w:sz w:val="24"/>
          <w:szCs w:val="24"/>
          <w:u w:val="single"/>
        </w:rPr>
        <w:t>Economia socială</w:t>
      </w:r>
    </w:p>
    <w:p w:rsidR="00702392" w:rsidRDefault="00265FD0" w:rsidP="00702392">
      <w:pPr>
        <w:spacing w:line="360" w:lineRule="auto"/>
        <w:ind w:left="720" w:firstLine="720"/>
        <w:rPr>
          <w:i/>
          <w:sz w:val="24"/>
          <w:szCs w:val="24"/>
        </w:rPr>
      </w:pPr>
      <w:r w:rsidRPr="00265FD0">
        <w:rPr>
          <w:sz w:val="24"/>
          <w:szCs w:val="24"/>
        </w:rPr>
        <w:t>În cadrul Agenției Județene pentru Ocuparea Forței de Muncă Argeș funcționează Compartimentul Economie Socială, care atestă întreprinderile sociale și întreprinderile sociale de inserție, conform Legii nr. 219/2015 și Hotărârii Nr. 585/2016 pentru aprobarea Normelor metodologice de aplicare a prevederilor Legii nr. 219/2015 privind economia socială.</w:t>
      </w:r>
      <w:r w:rsidRPr="00265FD0">
        <w:rPr>
          <w:rFonts w:ascii="Times New Roman" w:eastAsiaTheme="minorEastAsia" w:hAnsi="Times New Roman"/>
          <w:sz w:val="24"/>
          <w:szCs w:val="24"/>
        </w:rPr>
        <w:t xml:space="preserve"> </w:t>
      </w:r>
      <w:r w:rsidRPr="00265FD0">
        <w:rPr>
          <w:i/>
          <w:sz w:val="24"/>
          <w:szCs w:val="24"/>
        </w:rPr>
        <w:t xml:space="preserve">Forma consolidată a LEGII nr. 219 din 23 iulie 2015, este realizată prin includerea modificărilor şi completărilor aduse de: </w:t>
      </w:r>
      <w:bookmarkStart w:id="1" w:name="REF1"/>
      <w:bookmarkEnd w:id="1"/>
      <w:r w:rsidRPr="00265FD0">
        <w:rPr>
          <w:rStyle w:val="panchorclicked"/>
          <w:rFonts w:cs="Courier New"/>
          <w:i/>
          <w:color w:val="000000"/>
          <w:sz w:val="24"/>
          <w:szCs w:val="24"/>
        </w:rPr>
        <w:t>LEGEA nr. 210 din 9 noiembrie 2016</w:t>
      </w:r>
      <w:r w:rsidRPr="00265FD0">
        <w:rPr>
          <w:i/>
          <w:sz w:val="24"/>
          <w:szCs w:val="24"/>
        </w:rPr>
        <w:t>; ORDONANŢA DE URGENŢĂ nr. 33 din 30 martie 2022; LEGEA nr. 211 din 12 iulie 2022 si LEGEA nr. 240 din 20 iulie 2022.</w:t>
      </w:r>
    </w:p>
    <w:p w:rsidR="00265FD0" w:rsidRPr="00265FD0" w:rsidRDefault="00702392" w:rsidP="00702392">
      <w:pPr>
        <w:spacing w:line="360" w:lineRule="auto"/>
        <w:ind w:left="720"/>
        <w:rPr>
          <w:sz w:val="24"/>
          <w:szCs w:val="24"/>
        </w:rPr>
      </w:pPr>
      <w:r>
        <w:rPr>
          <w:sz w:val="24"/>
          <w:szCs w:val="24"/>
        </w:rPr>
        <w:tab/>
      </w:r>
      <w:r w:rsidR="00265FD0" w:rsidRPr="00265FD0">
        <w:rPr>
          <w:sz w:val="24"/>
          <w:szCs w:val="24"/>
        </w:rPr>
        <w:t>Economia socială contribuie la dezvoltarea comunităților locale, crearea de locuri de muncă, implicarea persoanelor</w:t>
      </w:r>
      <w:r w:rsidR="002F7514">
        <w:rPr>
          <w:sz w:val="24"/>
          <w:szCs w:val="24"/>
        </w:rPr>
        <w:t xml:space="preserve"> aparținand grupului vulnerabil prevăzut de lege</w:t>
      </w:r>
      <w:r w:rsidR="00265FD0" w:rsidRPr="00265FD0">
        <w:rPr>
          <w:sz w:val="24"/>
          <w:szCs w:val="24"/>
        </w:rPr>
        <w:t xml:space="preserve"> în activități cu caracter social și/sau activități economice, facilitând accesul acestora la resursele și serviciile comunității.</w:t>
      </w:r>
    </w:p>
    <w:p w:rsidR="00265FD0" w:rsidRPr="00265FD0" w:rsidRDefault="00265FD0" w:rsidP="00702392">
      <w:pPr>
        <w:spacing w:after="100" w:afterAutospacing="1" w:line="360" w:lineRule="auto"/>
        <w:ind w:left="720" w:firstLine="720"/>
        <w:rPr>
          <w:sz w:val="24"/>
          <w:szCs w:val="24"/>
        </w:rPr>
      </w:pPr>
      <w:r w:rsidRPr="00265FD0">
        <w:rPr>
          <w:sz w:val="24"/>
          <w:szCs w:val="24"/>
        </w:rPr>
        <w:lastRenderedPageBreak/>
        <w:t>In anul 2022</w:t>
      </w:r>
      <w:r>
        <w:rPr>
          <w:sz w:val="24"/>
          <w:szCs w:val="24"/>
        </w:rPr>
        <w:t>,</w:t>
      </w:r>
      <w:r w:rsidRPr="00265FD0">
        <w:rPr>
          <w:sz w:val="24"/>
          <w:szCs w:val="24"/>
        </w:rPr>
        <w:t xml:space="preserve"> au fost certificate 7 </w:t>
      </w:r>
      <w:r w:rsidR="00702392">
        <w:rPr>
          <w:sz w:val="24"/>
          <w:szCs w:val="24"/>
        </w:rPr>
        <w:t>î</w:t>
      </w:r>
      <w:r w:rsidRPr="00265FD0">
        <w:rPr>
          <w:sz w:val="24"/>
          <w:szCs w:val="24"/>
        </w:rPr>
        <w:t xml:space="preserve">ntreprinderi sociale (6 </w:t>
      </w:r>
      <w:r>
        <w:rPr>
          <w:sz w:val="24"/>
          <w:szCs w:val="24"/>
        </w:rPr>
        <w:t>î</w:t>
      </w:r>
      <w:r w:rsidRPr="00265FD0">
        <w:rPr>
          <w:sz w:val="24"/>
          <w:szCs w:val="24"/>
        </w:rPr>
        <w:t>ntrepri</w:t>
      </w:r>
      <w:r>
        <w:rPr>
          <w:sz w:val="24"/>
          <w:szCs w:val="24"/>
        </w:rPr>
        <w:t>n</w:t>
      </w:r>
      <w:r w:rsidRPr="00265FD0">
        <w:rPr>
          <w:sz w:val="24"/>
          <w:szCs w:val="24"/>
        </w:rPr>
        <w:t xml:space="preserve">deri sociale </w:t>
      </w:r>
      <w:r>
        <w:rPr>
          <w:sz w:val="24"/>
          <w:szCs w:val="24"/>
        </w:rPr>
        <w:t>ș</w:t>
      </w:r>
      <w:r w:rsidRPr="00265FD0">
        <w:rPr>
          <w:sz w:val="24"/>
          <w:szCs w:val="24"/>
        </w:rPr>
        <w:t xml:space="preserve">i </w:t>
      </w:r>
      <w:r w:rsidR="002F7514">
        <w:rPr>
          <w:sz w:val="24"/>
          <w:szCs w:val="24"/>
        </w:rPr>
        <w:t>o</w:t>
      </w:r>
      <w:r w:rsidRPr="00265FD0">
        <w:rPr>
          <w:sz w:val="24"/>
          <w:szCs w:val="24"/>
        </w:rPr>
        <w:t xml:space="preserve"> </w:t>
      </w:r>
      <w:r>
        <w:rPr>
          <w:sz w:val="24"/>
          <w:szCs w:val="24"/>
        </w:rPr>
        <w:t>î</w:t>
      </w:r>
      <w:r w:rsidRPr="00265FD0">
        <w:rPr>
          <w:sz w:val="24"/>
          <w:szCs w:val="24"/>
        </w:rPr>
        <w:t>ntrepri</w:t>
      </w:r>
      <w:r>
        <w:rPr>
          <w:sz w:val="24"/>
          <w:szCs w:val="24"/>
        </w:rPr>
        <w:t>n</w:t>
      </w:r>
      <w:r w:rsidRPr="00265FD0">
        <w:rPr>
          <w:sz w:val="24"/>
          <w:szCs w:val="24"/>
        </w:rPr>
        <w:t>dere social</w:t>
      </w:r>
      <w:r>
        <w:rPr>
          <w:sz w:val="24"/>
          <w:szCs w:val="24"/>
        </w:rPr>
        <w:t>ă</w:t>
      </w:r>
      <w:r w:rsidRPr="00265FD0">
        <w:rPr>
          <w:sz w:val="24"/>
          <w:szCs w:val="24"/>
        </w:rPr>
        <w:t xml:space="preserve"> de inser</w:t>
      </w:r>
      <w:r>
        <w:rPr>
          <w:sz w:val="24"/>
          <w:szCs w:val="24"/>
        </w:rPr>
        <w:t>ț</w:t>
      </w:r>
      <w:r w:rsidRPr="00265FD0">
        <w:rPr>
          <w:sz w:val="24"/>
          <w:szCs w:val="24"/>
        </w:rPr>
        <w:t xml:space="preserve">ie). La nivelul județului Argeș, au fost certificate </w:t>
      </w:r>
      <w:r>
        <w:rPr>
          <w:sz w:val="24"/>
          <w:szCs w:val="24"/>
        </w:rPr>
        <w:t>în total 122 de î</w:t>
      </w:r>
      <w:r w:rsidRPr="00265FD0">
        <w:rPr>
          <w:sz w:val="24"/>
          <w:szCs w:val="24"/>
        </w:rPr>
        <w:t xml:space="preserve">ntreprinderi sociale </w:t>
      </w:r>
      <w:r>
        <w:rPr>
          <w:sz w:val="24"/>
          <w:szCs w:val="24"/>
        </w:rPr>
        <w:t>(</w:t>
      </w:r>
      <w:r w:rsidRPr="00265FD0">
        <w:rPr>
          <w:sz w:val="24"/>
          <w:szCs w:val="24"/>
        </w:rPr>
        <w:t xml:space="preserve">113 </w:t>
      </w:r>
      <w:r>
        <w:rPr>
          <w:sz w:val="24"/>
          <w:szCs w:val="24"/>
        </w:rPr>
        <w:t>î</w:t>
      </w:r>
      <w:r w:rsidRPr="00265FD0">
        <w:rPr>
          <w:sz w:val="24"/>
          <w:szCs w:val="24"/>
        </w:rPr>
        <w:t xml:space="preserve">ntreprinderi sociale, 9 </w:t>
      </w:r>
      <w:r>
        <w:rPr>
          <w:sz w:val="24"/>
          <w:szCs w:val="24"/>
        </w:rPr>
        <w:t>î</w:t>
      </w:r>
      <w:r w:rsidRPr="00265FD0">
        <w:rPr>
          <w:sz w:val="24"/>
          <w:szCs w:val="24"/>
        </w:rPr>
        <w:t xml:space="preserve">ntreprinderi </w:t>
      </w:r>
      <w:r>
        <w:rPr>
          <w:sz w:val="24"/>
          <w:szCs w:val="24"/>
        </w:rPr>
        <w:t>sociale de inserție). Din totalul celor 122 de întreprinderi,</w:t>
      </w:r>
      <w:r w:rsidRPr="00265FD0">
        <w:rPr>
          <w:sz w:val="24"/>
          <w:szCs w:val="24"/>
        </w:rPr>
        <w:t xml:space="preserve"> 4 intreprinderi sociale</w:t>
      </w:r>
      <w:r>
        <w:rPr>
          <w:sz w:val="24"/>
          <w:szCs w:val="24"/>
        </w:rPr>
        <w:t xml:space="preserve"> s-au</w:t>
      </w:r>
      <w:r w:rsidRPr="00265FD0">
        <w:rPr>
          <w:sz w:val="24"/>
          <w:szCs w:val="24"/>
        </w:rPr>
        <w:t xml:space="preserve"> retras</w:t>
      </w:r>
      <w:r w:rsidR="00E84896">
        <w:rPr>
          <w:sz w:val="24"/>
          <w:szCs w:val="24"/>
        </w:rPr>
        <w:t xml:space="preserve"> prin încetarea activității.</w:t>
      </w:r>
    </w:p>
    <w:p w:rsidR="00633E01" w:rsidRPr="00F37D58" w:rsidRDefault="00633E01" w:rsidP="003276B2">
      <w:pPr>
        <w:spacing w:after="100" w:afterAutospacing="1" w:line="360" w:lineRule="auto"/>
        <w:ind w:left="708" w:firstLine="720"/>
        <w:rPr>
          <w:b/>
          <w:sz w:val="24"/>
          <w:szCs w:val="24"/>
          <w:u w:val="single"/>
        </w:rPr>
      </w:pPr>
      <w:r w:rsidRPr="00F37D58">
        <w:rPr>
          <w:b/>
          <w:sz w:val="24"/>
          <w:szCs w:val="24"/>
          <w:u w:val="single"/>
        </w:rPr>
        <w:t>Relații cu angajatorii</w:t>
      </w:r>
    </w:p>
    <w:p w:rsidR="00633E01" w:rsidRPr="00F37D58" w:rsidRDefault="00633E01" w:rsidP="005D37EF">
      <w:pPr>
        <w:spacing w:after="0" w:line="360" w:lineRule="auto"/>
        <w:ind w:left="708" w:firstLine="720"/>
        <w:rPr>
          <w:rFonts w:eastAsia="Times New Roman" w:cs="Arial"/>
          <w:sz w:val="24"/>
          <w:szCs w:val="24"/>
          <w:lang w:val="ro-RO" w:eastAsia="ro-RO"/>
        </w:rPr>
      </w:pPr>
      <w:r w:rsidRPr="00F37D58">
        <w:rPr>
          <w:sz w:val="24"/>
          <w:szCs w:val="24"/>
        </w:rPr>
        <w:t xml:space="preserve">In ceea ce privește </w:t>
      </w:r>
      <w:r w:rsidRPr="00F37D58">
        <w:rPr>
          <w:rFonts w:eastAsia="Times New Roman" w:cs="Arial"/>
          <w:sz w:val="24"/>
          <w:szCs w:val="24"/>
          <w:lang w:val="ro-RO" w:eastAsia="ro-RO"/>
        </w:rPr>
        <w:t>măsurile de sprijin oferite angajatorilor, cel mai mare succes l-a înregistrat subvenționarea angajatorilor pentru încadrarea persoanelor cu vârsta peste 45 ani, precum și ucenicia la locul de muncă. S</w:t>
      </w:r>
      <w:r w:rsidRPr="00F37D58">
        <w:rPr>
          <w:sz w:val="24"/>
          <w:szCs w:val="24"/>
        </w:rPr>
        <w:t xml:space="preserve">ubvenționarea s-a realizat atât din bugetul asigurărilor pentru șomaj cât și din fonduri europene nerambursabile, prin intermediul a </w:t>
      </w:r>
      <w:r w:rsidR="002F7514">
        <w:rPr>
          <w:sz w:val="24"/>
          <w:szCs w:val="24"/>
        </w:rPr>
        <w:t>cinci</w:t>
      </w:r>
      <w:r w:rsidRPr="00F37D58">
        <w:rPr>
          <w:sz w:val="24"/>
          <w:szCs w:val="24"/>
        </w:rPr>
        <w:t xml:space="preserve"> proiecte în care Agenția Națională pentru Ocuparea Forței de Muncă are calitatea de beneficiar.</w:t>
      </w:r>
      <w:r w:rsidRPr="00F37D58">
        <w:rPr>
          <w:rFonts w:eastAsia="Times New Roman" w:cs="Arial"/>
          <w:sz w:val="24"/>
          <w:szCs w:val="24"/>
          <w:lang w:val="ro-RO" w:eastAsia="ro-RO"/>
        </w:rPr>
        <w:t xml:space="preserve"> </w:t>
      </w:r>
    </w:p>
    <w:p w:rsidR="00633E01" w:rsidRPr="00F37D58" w:rsidRDefault="00633E01" w:rsidP="005D37EF">
      <w:pPr>
        <w:spacing w:after="100" w:afterAutospacing="1" w:line="360" w:lineRule="auto"/>
        <w:ind w:left="708" w:firstLine="720"/>
        <w:rPr>
          <w:sz w:val="24"/>
          <w:szCs w:val="24"/>
        </w:rPr>
      </w:pPr>
      <w:r w:rsidRPr="00F37D58">
        <w:rPr>
          <w:sz w:val="24"/>
          <w:szCs w:val="24"/>
        </w:rPr>
        <w:t>Astfel, în anul 2022</w:t>
      </w:r>
      <w:r w:rsidR="008376C8" w:rsidRPr="00F37D58">
        <w:rPr>
          <w:sz w:val="24"/>
          <w:szCs w:val="24"/>
        </w:rPr>
        <w:t>,</w:t>
      </w:r>
      <w:r w:rsidRPr="00F37D58">
        <w:rPr>
          <w:sz w:val="24"/>
          <w:szCs w:val="24"/>
        </w:rPr>
        <w:t xml:space="preserve"> prin</w:t>
      </w:r>
      <w:r w:rsidRPr="00F37D58">
        <w:rPr>
          <w:rStyle w:val="HTMLCite"/>
          <w:rFonts w:cs="Courier New"/>
          <w:color w:val="000000"/>
          <w:sz w:val="24"/>
          <w:szCs w:val="24"/>
        </w:rPr>
        <w:t xml:space="preserve"> implementarea măsurilor</w:t>
      </w:r>
      <w:r w:rsidRPr="00F37D58">
        <w:rPr>
          <w:sz w:val="24"/>
          <w:szCs w:val="24"/>
        </w:rPr>
        <w:t xml:space="preserve"> privind stimularea  angajatorilor pentru încadrarea în muncă a șomerilor, prin subvenționarea locurilor de muncă, conform legislației în vigoare, a fost subvenționată angajarea a </w:t>
      </w:r>
      <w:r w:rsidR="00035902" w:rsidRPr="00035902">
        <w:rPr>
          <w:b/>
          <w:sz w:val="24"/>
          <w:szCs w:val="24"/>
        </w:rPr>
        <w:t>971</w:t>
      </w:r>
      <w:r w:rsidRPr="00035902">
        <w:rPr>
          <w:b/>
          <w:sz w:val="24"/>
          <w:szCs w:val="24"/>
        </w:rPr>
        <w:t xml:space="preserve"> persoane</w:t>
      </w:r>
      <w:r w:rsidRPr="00F37D58">
        <w:rPr>
          <w:sz w:val="24"/>
          <w:szCs w:val="24"/>
        </w:rPr>
        <w:t>, din care:</w:t>
      </w:r>
    </w:p>
    <w:p w:rsidR="00633E01" w:rsidRPr="00035902" w:rsidRDefault="00633E01" w:rsidP="00633E01">
      <w:pPr>
        <w:numPr>
          <w:ilvl w:val="0"/>
          <w:numId w:val="4"/>
        </w:numPr>
        <w:spacing w:after="0" w:line="360" w:lineRule="auto"/>
        <w:rPr>
          <w:sz w:val="24"/>
          <w:szCs w:val="24"/>
        </w:rPr>
      </w:pPr>
      <w:r w:rsidRPr="00035902">
        <w:rPr>
          <w:sz w:val="24"/>
          <w:szCs w:val="24"/>
        </w:rPr>
        <w:t xml:space="preserve">Legea 76/2002 -art.85 - șomeri peste 45 ani  si tineri NEET’s </w:t>
      </w:r>
      <w:r w:rsidRPr="00035902">
        <w:rPr>
          <w:b/>
          <w:sz w:val="24"/>
          <w:szCs w:val="24"/>
        </w:rPr>
        <w:t xml:space="preserve">- </w:t>
      </w:r>
      <w:r w:rsidR="00035902" w:rsidRPr="00035902">
        <w:rPr>
          <w:b/>
          <w:sz w:val="24"/>
          <w:szCs w:val="24"/>
        </w:rPr>
        <w:t>817</w:t>
      </w:r>
      <w:r w:rsidRPr="00035902">
        <w:rPr>
          <w:sz w:val="24"/>
          <w:szCs w:val="24"/>
        </w:rPr>
        <w:t xml:space="preserve"> persoane;</w:t>
      </w:r>
    </w:p>
    <w:p w:rsidR="00633E01" w:rsidRPr="00035902" w:rsidRDefault="00633E01" w:rsidP="00633E01">
      <w:pPr>
        <w:numPr>
          <w:ilvl w:val="0"/>
          <w:numId w:val="4"/>
        </w:numPr>
        <w:spacing w:after="0" w:line="360" w:lineRule="auto"/>
        <w:rPr>
          <w:bCs/>
          <w:sz w:val="24"/>
          <w:szCs w:val="24"/>
        </w:rPr>
      </w:pPr>
      <w:r w:rsidRPr="00035902">
        <w:rPr>
          <w:bCs/>
          <w:sz w:val="24"/>
          <w:szCs w:val="24"/>
        </w:rPr>
        <w:t xml:space="preserve">Legea 76/2002 -art. 80 - absolvenți de învățământ – </w:t>
      </w:r>
      <w:r w:rsidR="00035902" w:rsidRPr="00035902">
        <w:rPr>
          <w:b/>
          <w:bCs/>
          <w:sz w:val="24"/>
          <w:szCs w:val="24"/>
        </w:rPr>
        <w:t>50</w:t>
      </w:r>
      <w:r w:rsidRPr="00035902">
        <w:rPr>
          <w:bCs/>
          <w:sz w:val="24"/>
          <w:szCs w:val="24"/>
        </w:rPr>
        <w:t xml:space="preserve"> persoane;</w:t>
      </w:r>
    </w:p>
    <w:p w:rsidR="00633E01" w:rsidRPr="00035902" w:rsidRDefault="00633E01" w:rsidP="00633E01">
      <w:pPr>
        <w:numPr>
          <w:ilvl w:val="0"/>
          <w:numId w:val="4"/>
        </w:numPr>
        <w:spacing w:after="0" w:line="360" w:lineRule="auto"/>
        <w:rPr>
          <w:bCs/>
          <w:sz w:val="24"/>
          <w:szCs w:val="24"/>
        </w:rPr>
      </w:pPr>
      <w:r w:rsidRPr="00035902">
        <w:rPr>
          <w:bCs/>
          <w:sz w:val="24"/>
          <w:szCs w:val="24"/>
        </w:rPr>
        <w:t xml:space="preserve">Legea 279/2005 -șomeri cuprinși în programe de ucenicie – </w:t>
      </w:r>
      <w:r w:rsidR="00035902" w:rsidRPr="00035902">
        <w:rPr>
          <w:b/>
          <w:bCs/>
          <w:sz w:val="24"/>
          <w:szCs w:val="24"/>
        </w:rPr>
        <w:t>104</w:t>
      </w:r>
      <w:r w:rsidRPr="00035902">
        <w:rPr>
          <w:bCs/>
          <w:sz w:val="24"/>
          <w:szCs w:val="24"/>
        </w:rPr>
        <w:t xml:space="preserve"> persoane</w:t>
      </w:r>
      <w:r w:rsidR="00035902">
        <w:rPr>
          <w:bCs/>
          <w:sz w:val="24"/>
          <w:szCs w:val="24"/>
        </w:rPr>
        <w:t>.</w:t>
      </w:r>
    </w:p>
    <w:p w:rsidR="008376C8" w:rsidRPr="00BF1D1E" w:rsidRDefault="008376C8" w:rsidP="008376C8">
      <w:pPr>
        <w:spacing w:after="0" w:line="360" w:lineRule="auto"/>
        <w:ind w:left="1426"/>
        <w:rPr>
          <w:bCs/>
        </w:rPr>
      </w:pPr>
    </w:p>
    <w:p w:rsidR="00F76427" w:rsidRDefault="00F76427" w:rsidP="005D37EF">
      <w:pPr>
        <w:spacing w:after="0" w:line="360" w:lineRule="auto"/>
        <w:ind w:left="720" w:firstLine="720"/>
        <w:rPr>
          <w:bCs/>
          <w:sz w:val="24"/>
          <w:szCs w:val="24"/>
        </w:rPr>
      </w:pPr>
      <w:r>
        <w:rPr>
          <w:bCs/>
          <w:sz w:val="24"/>
          <w:szCs w:val="24"/>
        </w:rPr>
        <w:t>In anul 2022 a continuat implementarea m</w:t>
      </w:r>
      <w:r>
        <w:rPr>
          <w:bCs/>
          <w:sz w:val="24"/>
          <w:szCs w:val="24"/>
          <w:lang w:val="ro-RO"/>
        </w:rPr>
        <w:t xml:space="preserve">ăsurilor </w:t>
      </w:r>
      <w:r w:rsidRPr="00604A7F">
        <w:rPr>
          <w:bCs/>
          <w:sz w:val="24"/>
          <w:szCs w:val="24"/>
        </w:rPr>
        <w:t>în domeniul protecţiei sociale</w:t>
      </w:r>
      <w:r>
        <w:rPr>
          <w:bCs/>
          <w:sz w:val="24"/>
          <w:szCs w:val="24"/>
          <w:lang w:val="ro-RO"/>
        </w:rPr>
        <w:t xml:space="preserve">, </w:t>
      </w:r>
      <w:r w:rsidRPr="00582814">
        <w:rPr>
          <w:bCs/>
          <w:sz w:val="24"/>
          <w:szCs w:val="24"/>
          <w:lang w:val="ro-RO"/>
        </w:rPr>
        <w:t xml:space="preserve">situația plăților </w:t>
      </w:r>
      <w:r>
        <w:rPr>
          <w:bCs/>
          <w:sz w:val="24"/>
          <w:szCs w:val="24"/>
          <w:lang w:val="ro-RO"/>
        </w:rPr>
        <w:t>fiind următoarea</w:t>
      </w:r>
      <w:r w:rsidRPr="00604A7F">
        <w:rPr>
          <w:bCs/>
          <w:sz w:val="24"/>
          <w:szCs w:val="24"/>
        </w:rPr>
        <w:t>:</w:t>
      </w:r>
    </w:p>
    <w:p w:rsidR="00F20BC4" w:rsidRDefault="00F20BC4" w:rsidP="005D37EF">
      <w:pPr>
        <w:spacing w:after="0" w:line="360" w:lineRule="auto"/>
        <w:ind w:left="720" w:firstLine="720"/>
        <w:rPr>
          <w:bCs/>
          <w:sz w:val="24"/>
          <w:szCs w:val="24"/>
        </w:rPr>
      </w:pPr>
    </w:p>
    <w:p w:rsidR="00F76427" w:rsidRPr="00190610" w:rsidRDefault="00F76427" w:rsidP="00F76427">
      <w:pPr>
        <w:spacing w:after="0" w:line="360" w:lineRule="auto"/>
        <w:ind w:left="720" w:firstLine="720"/>
        <w:rPr>
          <w:rFonts w:eastAsia="Times New Roman" w:cs="Arial"/>
          <w:b/>
          <w:sz w:val="24"/>
          <w:szCs w:val="24"/>
          <w:u w:val="single"/>
          <w:lang w:val="ro-RO" w:eastAsia="ro-RO"/>
        </w:rPr>
      </w:pPr>
      <w:r w:rsidRPr="00190610">
        <w:rPr>
          <w:rFonts w:eastAsia="Calibri"/>
          <w:b/>
          <w:sz w:val="24"/>
          <w:szCs w:val="24"/>
          <w:u w:val="single"/>
        </w:rPr>
        <w:t>OUG nr.</w:t>
      </w:r>
      <w:r>
        <w:rPr>
          <w:rFonts w:eastAsia="Calibri"/>
          <w:b/>
          <w:sz w:val="24"/>
          <w:szCs w:val="24"/>
          <w:u w:val="single"/>
        </w:rPr>
        <w:t>111</w:t>
      </w:r>
      <w:r w:rsidRPr="00190610">
        <w:rPr>
          <w:rFonts w:eastAsia="Calibri"/>
          <w:b/>
          <w:sz w:val="24"/>
          <w:szCs w:val="24"/>
          <w:u w:val="single"/>
        </w:rPr>
        <w:t>/202</w:t>
      </w:r>
      <w:r>
        <w:rPr>
          <w:rFonts w:eastAsia="Calibri"/>
          <w:b/>
          <w:sz w:val="24"/>
          <w:szCs w:val="24"/>
          <w:u w:val="single"/>
        </w:rPr>
        <w:t>1</w:t>
      </w:r>
      <w:r w:rsidRPr="00190610">
        <w:rPr>
          <w:rFonts w:eastAsia="Calibri"/>
          <w:b/>
          <w:sz w:val="24"/>
          <w:szCs w:val="24"/>
          <w:u w:val="single"/>
        </w:rPr>
        <w:t xml:space="preserve">, </w:t>
      </w:r>
      <w:r>
        <w:rPr>
          <w:rFonts w:eastAsia="Calibri"/>
          <w:b/>
          <w:sz w:val="24"/>
          <w:szCs w:val="24"/>
          <w:u w:val="single"/>
        </w:rPr>
        <w:t>OUG nr. 2/2022, OUG nr. 36/2022</w:t>
      </w:r>
      <w:r w:rsidRPr="00190610">
        <w:rPr>
          <w:rFonts w:eastAsia="Calibri"/>
          <w:b/>
          <w:sz w:val="24"/>
          <w:szCs w:val="24"/>
          <w:u w:val="single"/>
        </w:rPr>
        <w:t xml:space="preserve"> - </w:t>
      </w:r>
      <w:r w:rsidRPr="00190610">
        <w:rPr>
          <w:rFonts w:eastAsia="Times New Roman" w:cs="Arial"/>
          <w:b/>
          <w:sz w:val="24"/>
          <w:szCs w:val="24"/>
          <w:u w:val="single"/>
          <w:lang w:val="ro-RO" w:eastAsia="ro-RO"/>
        </w:rPr>
        <w:t>Șomajul tehnic</w:t>
      </w:r>
    </w:p>
    <w:p w:rsidR="00F76427" w:rsidRDefault="00F76427" w:rsidP="00F76427">
      <w:pPr>
        <w:spacing w:after="0" w:line="360" w:lineRule="auto"/>
        <w:ind w:left="720" w:firstLine="720"/>
        <w:rPr>
          <w:rStyle w:val="panchor"/>
          <w:color w:val="000000"/>
          <w:sz w:val="24"/>
          <w:szCs w:val="24"/>
        </w:rPr>
      </w:pPr>
      <w:r>
        <w:rPr>
          <w:color w:val="000000"/>
          <w:sz w:val="24"/>
          <w:szCs w:val="24"/>
        </w:rPr>
        <w:t>(</w:t>
      </w:r>
      <w:r w:rsidRPr="006F4639">
        <w:rPr>
          <w:color w:val="000000"/>
          <w:sz w:val="24"/>
          <w:szCs w:val="24"/>
        </w:rPr>
        <w:t>75% din salariul de bază corespunzător locului de muncă ocupat</w:t>
      </w:r>
      <w:r>
        <w:rPr>
          <w:color w:val="000000"/>
          <w:sz w:val="24"/>
          <w:szCs w:val="24"/>
        </w:rPr>
        <w:t>,</w:t>
      </w:r>
      <w:r w:rsidRPr="006F4639">
        <w:rPr>
          <w:color w:val="000000"/>
          <w:sz w:val="24"/>
          <w:szCs w:val="24"/>
        </w:rPr>
        <w:t xml:space="preserve"> suport</w:t>
      </w:r>
      <w:r>
        <w:rPr>
          <w:color w:val="000000"/>
          <w:sz w:val="24"/>
          <w:szCs w:val="24"/>
        </w:rPr>
        <w:t>at</w:t>
      </w:r>
      <w:r w:rsidRPr="006F4639">
        <w:rPr>
          <w:color w:val="000000"/>
          <w:sz w:val="24"/>
          <w:szCs w:val="24"/>
        </w:rPr>
        <w:t xml:space="preserve"> din bugetul asigurărilor pentru şomaj, dar nu mai mult de 75% din câştigul salarial mediu brut prevăzut de </w:t>
      </w:r>
      <w:bookmarkStart w:id="2" w:name="REF97"/>
      <w:bookmarkEnd w:id="2"/>
      <w:r w:rsidRPr="006F4639">
        <w:rPr>
          <w:rStyle w:val="panchor"/>
          <w:color w:val="000000"/>
          <w:sz w:val="24"/>
          <w:szCs w:val="24"/>
        </w:rPr>
        <w:t>Legea bugetului asigurărilor sociale de stat</w:t>
      </w:r>
      <w:r>
        <w:rPr>
          <w:rStyle w:val="panchor"/>
          <w:color w:val="000000"/>
          <w:sz w:val="24"/>
          <w:szCs w:val="24"/>
        </w:rPr>
        <w:t>)</w:t>
      </w:r>
    </w:p>
    <w:p w:rsidR="00F76427" w:rsidRPr="00103450" w:rsidRDefault="00F76427" w:rsidP="00F76427">
      <w:pPr>
        <w:ind w:left="0" w:firstLine="720"/>
        <w:rPr>
          <w:b/>
          <w:color w:val="000000"/>
        </w:rPr>
      </w:pPr>
      <w:r w:rsidRPr="009E77DF">
        <w:rPr>
          <w:b/>
          <w:color w:val="000000"/>
        </w:rPr>
        <w:t>Perioada</w:t>
      </w:r>
      <w:r>
        <w:rPr>
          <w:color w:val="000000"/>
        </w:rPr>
        <w:tab/>
      </w:r>
      <w:r>
        <w:rPr>
          <w:color w:val="000000"/>
        </w:rPr>
        <w:tab/>
      </w:r>
      <w:r>
        <w:rPr>
          <w:color w:val="000000"/>
        </w:rPr>
        <w:tab/>
      </w:r>
      <w:r w:rsidRPr="00103450">
        <w:rPr>
          <w:b/>
          <w:color w:val="000000"/>
        </w:rPr>
        <w:t>Nr. agen</w:t>
      </w:r>
      <w:r>
        <w:rPr>
          <w:b/>
          <w:color w:val="000000"/>
        </w:rPr>
        <w:t>ț</w:t>
      </w:r>
      <w:r w:rsidRPr="00103450">
        <w:rPr>
          <w:b/>
          <w:color w:val="000000"/>
        </w:rPr>
        <w:t>i economici</w:t>
      </w:r>
      <w:r w:rsidRPr="00103450">
        <w:rPr>
          <w:b/>
          <w:color w:val="000000"/>
        </w:rPr>
        <w:tab/>
      </w:r>
      <w:r w:rsidRPr="00103450">
        <w:rPr>
          <w:b/>
          <w:color w:val="000000"/>
        </w:rPr>
        <w:tab/>
        <w:t>Nr. angaja</w:t>
      </w:r>
      <w:r>
        <w:rPr>
          <w:b/>
          <w:color w:val="000000"/>
        </w:rPr>
        <w:t>ți</w:t>
      </w:r>
      <w:r>
        <w:rPr>
          <w:b/>
          <w:color w:val="000000"/>
        </w:rPr>
        <w:tab/>
      </w:r>
      <w:r>
        <w:rPr>
          <w:b/>
          <w:color w:val="000000"/>
        </w:rPr>
        <w:tab/>
        <w:t>Plăț</w:t>
      </w:r>
      <w:r w:rsidRPr="00103450">
        <w:rPr>
          <w:b/>
          <w:color w:val="000000"/>
        </w:rPr>
        <w:t>i</w:t>
      </w:r>
    </w:p>
    <w:p w:rsidR="00F76427" w:rsidRDefault="00F76427" w:rsidP="00F76427">
      <w:pPr>
        <w:ind w:left="0"/>
        <w:rPr>
          <w:b/>
          <w:color w:val="000000"/>
        </w:rPr>
      </w:pPr>
      <w:r>
        <w:rPr>
          <w:color w:val="000000"/>
        </w:rPr>
        <w:tab/>
      </w:r>
      <w:r w:rsidRPr="009E77DF">
        <w:rPr>
          <w:b/>
          <w:color w:val="000000"/>
        </w:rPr>
        <w:t>01.01-3</w:t>
      </w:r>
      <w:r w:rsidR="00263666">
        <w:rPr>
          <w:b/>
          <w:color w:val="000000"/>
        </w:rPr>
        <w:t>1</w:t>
      </w:r>
      <w:r w:rsidRPr="009E77DF">
        <w:rPr>
          <w:b/>
          <w:color w:val="000000"/>
        </w:rPr>
        <w:t>.</w:t>
      </w:r>
      <w:r>
        <w:rPr>
          <w:b/>
          <w:color w:val="000000"/>
        </w:rPr>
        <w:t>1</w:t>
      </w:r>
      <w:r w:rsidR="00263666">
        <w:rPr>
          <w:b/>
          <w:color w:val="000000"/>
        </w:rPr>
        <w:t>2</w:t>
      </w:r>
      <w:r w:rsidRPr="009E77DF">
        <w:rPr>
          <w:b/>
          <w:color w:val="000000"/>
        </w:rPr>
        <w:t>.2022</w:t>
      </w:r>
      <w:r>
        <w:rPr>
          <w:color w:val="000000"/>
        </w:rPr>
        <w:tab/>
      </w:r>
      <w:r>
        <w:rPr>
          <w:color w:val="000000"/>
        </w:rPr>
        <w:tab/>
      </w:r>
      <w:r>
        <w:rPr>
          <w:color w:val="000000"/>
        </w:rPr>
        <w:tab/>
      </w:r>
      <w:r w:rsidRPr="009E77DF">
        <w:rPr>
          <w:b/>
          <w:color w:val="000000"/>
        </w:rPr>
        <w:t>59</w:t>
      </w:r>
      <w:r>
        <w:rPr>
          <w:b/>
          <w:color w:val="000000"/>
        </w:rPr>
        <w:t>9</w:t>
      </w:r>
      <w:r w:rsidRPr="00103450">
        <w:rPr>
          <w:b/>
          <w:color w:val="000000"/>
        </w:rPr>
        <w:tab/>
      </w:r>
      <w:r w:rsidRPr="00103450">
        <w:rPr>
          <w:b/>
          <w:color w:val="000000"/>
        </w:rPr>
        <w:tab/>
        <w:t xml:space="preserve">   </w:t>
      </w:r>
      <w:r>
        <w:rPr>
          <w:b/>
          <w:color w:val="000000"/>
        </w:rPr>
        <w:tab/>
        <w:t xml:space="preserve">   2.693</w:t>
      </w:r>
      <w:r w:rsidRPr="00103450">
        <w:rPr>
          <w:b/>
          <w:color w:val="000000"/>
        </w:rPr>
        <w:tab/>
      </w:r>
      <w:r w:rsidRPr="00103450">
        <w:rPr>
          <w:b/>
          <w:color w:val="000000"/>
        </w:rPr>
        <w:tab/>
      </w:r>
      <w:r>
        <w:rPr>
          <w:b/>
          <w:color w:val="000000"/>
        </w:rPr>
        <w:t>3.349.651</w:t>
      </w:r>
      <w:r w:rsidRPr="00103450">
        <w:rPr>
          <w:b/>
          <w:color w:val="000000"/>
        </w:rPr>
        <w:t xml:space="preserve"> </w:t>
      </w:r>
    </w:p>
    <w:p w:rsidR="00F76427" w:rsidRPr="00103450" w:rsidRDefault="00F76427" w:rsidP="00F76427">
      <w:pPr>
        <w:ind w:left="0"/>
        <w:rPr>
          <w:b/>
          <w:color w:val="000000"/>
        </w:rPr>
      </w:pPr>
    </w:p>
    <w:p w:rsidR="00F76427" w:rsidRPr="006F4639" w:rsidRDefault="00F76427" w:rsidP="00F76427">
      <w:pPr>
        <w:spacing w:after="0" w:line="360" w:lineRule="auto"/>
        <w:ind w:left="720" w:firstLine="720"/>
        <w:rPr>
          <w:sz w:val="24"/>
          <w:szCs w:val="24"/>
          <w:u w:val="single"/>
        </w:rPr>
      </w:pPr>
      <w:r>
        <w:rPr>
          <w:rStyle w:val="panchor"/>
        </w:rPr>
        <w:t xml:space="preserve"> </w:t>
      </w:r>
      <w:r w:rsidRPr="00DD074B">
        <w:rPr>
          <w:rStyle w:val="panchor"/>
          <w:b/>
          <w:sz w:val="24"/>
          <w:szCs w:val="24"/>
          <w:u w:val="single"/>
        </w:rPr>
        <w:t>OUG nr. 132/2020</w:t>
      </w:r>
      <w:r w:rsidRPr="00756272">
        <w:rPr>
          <w:rStyle w:val="panchor"/>
          <w:b/>
          <w:sz w:val="24"/>
          <w:szCs w:val="24"/>
          <w:u w:val="single"/>
        </w:rPr>
        <w:t xml:space="preserve">  - Kurz</w:t>
      </w:r>
      <w:r>
        <w:rPr>
          <w:rStyle w:val="panchor"/>
          <w:b/>
          <w:sz w:val="24"/>
          <w:szCs w:val="24"/>
          <w:u w:val="single"/>
        </w:rPr>
        <w:t xml:space="preserve">arbeit </w:t>
      </w:r>
      <w:r>
        <w:rPr>
          <w:rStyle w:val="panchor"/>
          <w:sz w:val="24"/>
          <w:szCs w:val="24"/>
        </w:rPr>
        <w:t xml:space="preserve">(reducerea </w:t>
      </w:r>
      <w:r w:rsidRPr="00C73A56">
        <w:rPr>
          <w:sz w:val="24"/>
          <w:szCs w:val="24"/>
        </w:rPr>
        <w:t xml:space="preserve">timpului </w:t>
      </w:r>
      <w:r w:rsidRPr="00C73A56">
        <w:rPr>
          <w:color w:val="000000"/>
          <w:sz w:val="24"/>
          <w:szCs w:val="24"/>
        </w:rPr>
        <w:t>de muncă a salariaţilor cu cel mult 50% din durata prevăzută în contractul individual de muncă).</w:t>
      </w:r>
      <w:r w:rsidRPr="006F4639">
        <w:rPr>
          <w:color w:val="000000"/>
          <w:sz w:val="24"/>
          <w:szCs w:val="24"/>
        </w:rPr>
        <w:t xml:space="preserve"> </w:t>
      </w:r>
      <w:bookmarkStart w:id="3" w:name="na3170416"/>
      <w:bookmarkEnd w:id="3"/>
    </w:p>
    <w:p w:rsidR="00F76427" w:rsidRPr="00103450" w:rsidRDefault="00F76427" w:rsidP="00F76427">
      <w:pPr>
        <w:ind w:left="0" w:firstLine="720"/>
        <w:rPr>
          <w:b/>
          <w:color w:val="000000"/>
        </w:rPr>
      </w:pPr>
      <w:r>
        <w:rPr>
          <w:b/>
          <w:color w:val="000000"/>
        </w:rPr>
        <w:t>Perioada</w:t>
      </w:r>
      <w:r>
        <w:rPr>
          <w:b/>
          <w:color w:val="000000"/>
        </w:rPr>
        <w:tab/>
      </w:r>
      <w:r>
        <w:rPr>
          <w:b/>
          <w:color w:val="000000"/>
        </w:rPr>
        <w:tab/>
      </w:r>
      <w:r>
        <w:rPr>
          <w:b/>
          <w:color w:val="000000"/>
        </w:rPr>
        <w:tab/>
        <w:t>Nr. agenț</w:t>
      </w:r>
      <w:r w:rsidRPr="00103450">
        <w:rPr>
          <w:b/>
          <w:color w:val="000000"/>
        </w:rPr>
        <w:t>i economici</w:t>
      </w:r>
      <w:r w:rsidRPr="00103450">
        <w:rPr>
          <w:b/>
          <w:color w:val="000000"/>
        </w:rPr>
        <w:tab/>
      </w:r>
      <w:r w:rsidRPr="00103450">
        <w:rPr>
          <w:b/>
          <w:color w:val="000000"/>
        </w:rPr>
        <w:tab/>
        <w:t>Nr. angaja</w:t>
      </w:r>
      <w:r>
        <w:rPr>
          <w:b/>
          <w:color w:val="000000"/>
        </w:rPr>
        <w:t>ț</w:t>
      </w:r>
      <w:r w:rsidRPr="00103450">
        <w:rPr>
          <w:b/>
          <w:color w:val="000000"/>
        </w:rPr>
        <w:t>i</w:t>
      </w:r>
      <w:r w:rsidRPr="00103450">
        <w:rPr>
          <w:b/>
          <w:color w:val="000000"/>
        </w:rPr>
        <w:tab/>
      </w:r>
      <w:r w:rsidRPr="00103450">
        <w:rPr>
          <w:b/>
          <w:color w:val="000000"/>
        </w:rPr>
        <w:tab/>
        <w:t>Pl</w:t>
      </w:r>
      <w:r>
        <w:rPr>
          <w:b/>
          <w:color w:val="000000"/>
        </w:rPr>
        <w:t>ăț</w:t>
      </w:r>
      <w:r w:rsidRPr="00103450">
        <w:rPr>
          <w:b/>
          <w:color w:val="000000"/>
        </w:rPr>
        <w:t>i</w:t>
      </w:r>
    </w:p>
    <w:p w:rsidR="00F76427" w:rsidRPr="00103450" w:rsidRDefault="00F76427" w:rsidP="00F76427">
      <w:pPr>
        <w:ind w:left="0"/>
        <w:rPr>
          <w:b/>
          <w:color w:val="000000"/>
        </w:rPr>
      </w:pPr>
      <w:r>
        <w:rPr>
          <w:color w:val="000000"/>
        </w:rPr>
        <w:tab/>
      </w:r>
      <w:r w:rsidRPr="00FA20DA">
        <w:rPr>
          <w:b/>
          <w:color w:val="000000"/>
        </w:rPr>
        <w:t>01.01-3</w:t>
      </w:r>
      <w:r w:rsidR="00263666">
        <w:rPr>
          <w:b/>
          <w:color w:val="000000"/>
        </w:rPr>
        <w:t>1</w:t>
      </w:r>
      <w:r w:rsidRPr="00FA20DA">
        <w:rPr>
          <w:b/>
          <w:color w:val="000000"/>
        </w:rPr>
        <w:t>.</w:t>
      </w:r>
      <w:r>
        <w:rPr>
          <w:b/>
          <w:color w:val="000000"/>
        </w:rPr>
        <w:t>1</w:t>
      </w:r>
      <w:r w:rsidR="00263666">
        <w:rPr>
          <w:b/>
          <w:color w:val="000000"/>
        </w:rPr>
        <w:t>2</w:t>
      </w:r>
      <w:r w:rsidRPr="00FA20DA">
        <w:rPr>
          <w:b/>
          <w:color w:val="000000"/>
        </w:rPr>
        <w:t>.2022</w:t>
      </w:r>
      <w:r>
        <w:rPr>
          <w:color w:val="000000"/>
        </w:rPr>
        <w:tab/>
      </w:r>
      <w:r>
        <w:rPr>
          <w:color w:val="000000"/>
        </w:rPr>
        <w:tab/>
      </w:r>
      <w:r>
        <w:rPr>
          <w:color w:val="000000"/>
        </w:rPr>
        <w:tab/>
      </w:r>
      <w:r w:rsidRPr="000610A5">
        <w:rPr>
          <w:b/>
          <w:color w:val="000000"/>
        </w:rPr>
        <w:t xml:space="preserve"> </w:t>
      </w:r>
      <w:r>
        <w:rPr>
          <w:b/>
          <w:color w:val="000000"/>
        </w:rPr>
        <w:t>5</w:t>
      </w:r>
      <w:r w:rsidR="00263666">
        <w:rPr>
          <w:b/>
          <w:color w:val="000000"/>
        </w:rPr>
        <w:t>30</w:t>
      </w:r>
      <w:r w:rsidRPr="00103450">
        <w:rPr>
          <w:b/>
          <w:color w:val="000000"/>
        </w:rPr>
        <w:tab/>
      </w:r>
      <w:r w:rsidRPr="00103450">
        <w:rPr>
          <w:b/>
          <w:color w:val="000000"/>
        </w:rPr>
        <w:tab/>
        <w:t xml:space="preserve">   </w:t>
      </w:r>
      <w:r>
        <w:rPr>
          <w:b/>
          <w:color w:val="000000"/>
        </w:rPr>
        <w:t xml:space="preserve">          </w:t>
      </w:r>
      <w:r w:rsidR="00263666">
        <w:rPr>
          <w:b/>
          <w:color w:val="000000"/>
        </w:rPr>
        <w:t>40</w:t>
      </w:r>
      <w:r>
        <w:rPr>
          <w:b/>
          <w:color w:val="000000"/>
        </w:rPr>
        <w:t>.6</w:t>
      </w:r>
      <w:r w:rsidR="00263666">
        <w:rPr>
          <w:b/>
          <w:color w:val="000000"/>
        </w:rPr>
        <w:t>6</w:t>
      </w:r>
      <w:r>
        <w:rPr>
          <w:b/>
          <w:color w:val="000000"/>
        </w:rPr>
        <w:t>3</w:t>
      </w:r>
      <w:r w:rsidRPr="00103450">
        <w:rPr>
          <w:b/>
          <w:color w:val="000000"/>
        </w:rPr>
        <w:tab/>
      </w:r>
      <w:r w:rsidRPr="00103450">
        <w:rPr>
          <w:b/>
          <w:color w:val="000000"/>
        </w:rPr>
        <w:tab/>
      </w:r>
      <w:r>
        <w:rPr>
          <w:b/>
          <w:color w:val="000000"/>
        </w:rPr>
        <w:t>3</w:t>
      </w:r>
      <w:r w:rsidR="00263666">
        <w:rPr>
          <w:b/>
          <w:color w:val="000000"/>
        </w:rPr>
        <w:t>8</w:t>
      </w:r>
      <w:r>
        <w:rPr>
          <w:b/>
          <w:color w:val="000000"/>
        </w:rPr>
        <w:t>.</w:t>
      </w:r>
      <w:r w:rsidR="00263666">
        <w:rPr>
          <w:b/>
          <w:color w:val="000000"/>
        </w:rPr>
        <w:t>275</w:t>
      </w:r>
      <w:r>
        <w:rPr>
          <w:b/>
          <w:color w:val="000000"/>
        </w:rPr>
        <w:t>.</w:t>
      </w:r>
      <w:r w:rsidR="00263666">
        <w:rPr>
          <w:b/>
          <w:color w:val="000000"/>
        </w:rPr>
        <w:t>145</w:t>
      </w:r>
      <w:r w:rsidRPr="00103450">
        <w:rPr>
          <w:b/>
          <w:color w:val="000000"/>
        </w:rPr>
        <w:t xml:space="preserve"> </w:t>
      </w:r>
    </w:p>
    <w:p w:rsidR="00F76427" w:rsidRPr="000610A5" w:rsidRDefault="00F76427" w:rsidP="00F76427">
      <w:pPr>
        <w:spacing w:after="0" w:line="360" w:lineRule="auto"/>
        <w:ind w:left="720" w:firstLine="720"/>
        <w:rPr>
          <w:rStyle w:val="panchor"/>
          <w:color w:val="000000" w:themeColor="text1"/>
        </w:rPr>
      </w:pPr>
    </w:p>
    <w:p w:rsidR="00F76427" w:rsidRPr="00FA20DA" w:rsidRDefault="00F76427" w:rsidP="00F76427">
      <w:pPr>
        <w:ind w:left="720" w:firstLine="720"/>
        <w:rPr>
          <w:sz w:val="24"/>
          <w:szCs w:val="24"/>
        </w:rPr>
      </w:pPr>
      <w:r>
        <w:rPr>
          <w:b/>
          <w:bCs/>
          <w:sz w:val="24"/>
          <w:szCs w:val="24"/>
          <w:u w:val="single"/>
        </w:rPr>
        <w:t>OUG nr. 110/2021</w:t>
      </w:r>
      <w:r w:rsidRPr="000C5A0E">
        <w:rPr>
          <w:b/>
          <w:bCs/>
          <w:sz w:val="24"/>
          <w:szCs w:val="24"/>
          <w:u w:val="single"/>
        </w:rPr>
        <w:t xml:space="preserve"> privind acordarea unor zile libere părinţilor pentru supravegherea copiilor, în situaţia închiderii temporare a unităţilor de învăţământ</w:t>
      </w:r>
      <w:r>
        <w:rPr>
          <w:b/>
          <w:bCs/>
          <w:sz w:val="24"/>
          <w:szCs w:val="24"/>
          <w:u w:val="single"/>
        </w:rPr>
        <w:t xml:space="preserve"> </w:t>
      </w:r>
      <w:r w:rsidRPr="00FA20DA">
        <w:rPr>
          <w:sz w:val="24"/>
          <w:szCs w:val="24"/>
        </w:rPr>
        <w:t>(75% din salariul de bază corespunzător unei zile lucrătoare, dar nu mai mult de corespondentul pe zi a 75% din câştigul salarial mediu brut utilizat la fundamentarea bugetului asigurărilor sociale de stat).</w:t>
      </w:r>
    </w:p>
    <w:p w:rsidR="00F76427" w:rsidRPr="00103450" w:rsidRDefault="00F76427" w:rsidP="00F76427">
      <w:pPr>
        <w:ind w:left="0" w:firstLine="720"/>
        <w:rPr>
          <w:b/>
          <w:color w:val="000000"/>
        </w:rPr>
      </w:pPr>
      <w:r>
        <w:rPr>
          <w:b/>
          <w:color w:val="000000"/>
        </w:rPr>
        <w:t>Perioada</w:t>
      </w:r>
      <w:r>
        <w:rPr>
          <w:b/>
          <w:color w:val="000000"/>
        </w:rPr>
        <w:tab/>
      </w:r>
      <w:r>
        <w:rPr>
          <w:b/>
          <w:color w:val="000000"/>
        </w:rPr>
        <w:tab/>
      </w:r>
      <w:r>
        <w:rPr>
          <w:b/>
          <w:color w:val="000000"/>
        </w:rPr>
        <w:tab/>
        <w:t xml:space="preserve">  </w:t>
      </w:r>
      <w:r w:rsidRPr="00103450">
        <w:rPr>
          <w:b/>
          <w:color w:val="000000"/>
        </w:rPr>
        <w:t>Nr. agen</w:t>
      </w:r>
      <w:r>
        <w:rPr>
          <w:b/>
          <w:color w:val="000000"/>
        </w:rPr>
        <w:t>ț</w:t>
      </w:r>
      <w:r w:rsidRPr="00103450">
        <w:rPr>
          <w:b/>
          <w:color w:val="000000"/>
        </w:rPr>
        <w:t>i economici</w:t>
      </w:r>
      <w:r w:rsidRPr="00103450">
        <w:rPr>
          <w:b/>
          <w:color w:val="000000"/>
        </w:rPr>
        <w:tab/>
        <w:t>Nr. angaja</w:t>
      </w:r>
      <w:r>
        <w:rPr>
          <w:b/>
          <w:color w:val="000000"/>
        </w:rPr>
        <w:t>ț</w:t>
      </w:r>
      <w:r w:rsidRPr="00103450">
        <w:rPr>
          <w:b/>
          <w:color w:val="000000"/>
        </w:rPr>
        <w:t>i</w:t>
      </w:r>
      <w:r w:rsidRPr="00103450">
        <w:rPr>
          <w:b/>
          <w:color w:val="000000"/>
        </w:rPr>
        <w:tab/>
      </w:r>
      <w:r w:rsidRPr="00103450">
        <w:rPr>
          <w:b/>
          <w:color w:val="000000"/>
        </w:rPr>
        <w:tab/>
        <w:t>Pl</w:t>
      </w:r>
      <w:r>
        <w:rPr>
          <w:b/>
          <w:color w:val="000000"/>
        </w:rPr>
        <w:t>ăț</w:t>
      </w:r>
      <w:r w:rsidRPr="00103450">
        <w:rPr>
          <w:b/>
          <w:color w:val="000000"/>
        </w:rPr>
        <w:t>i</w:t>
      </w:r>
    </w:p>
    <w:p w:rsidR="00F76427" w:rsidRDefault="00F76427" w:rsidP="00F76427">
      <w:pPr>
        <w:ind w:left="720"/>
        <w:rPr>
          <w:b/>
          <w:color w:val="000000"/>
        </w:rPr>
      </w:pPr>
      <w:r w:rsidRPr="00FA20DA">
        <w:rPr>
          <w:b/>
          <w:color w:val="000000"/>
        </w:rPr>
        <w:t>01.01-3</w:t>
      </w:r>
      <w:r w:rsidR="00263666">
        <w:rPr>
          <w:b/>
          <w:color w:val="000000"/>
        </w:rPr>
        <w:t>1</w:t>
      </w:r>
      <w:r w:rsidRPr="00FA20DA">
        <w:rPr>
          <w:b/>
          <w:color w:val="000000"/>
        </w:rPr>
        <w:t>.</w:t>
      </w:r>
      <w:r>
        <w:rPr>
          <w:b/>
          <w:color w:val="000000"/>
        </w:rPr>
        <w:t>1</w:t>
      </w:r>
      <w:r w:rsidR="00263666">
        <w:rPr>
          <w:b/>
          <w:color w:val="000000"/>
        </w:rPr>
        <w:t>2</w:t>
      </w:r>
      <w:r w:rsidRPr="00FA20DA">
        <w:rPr>
          <w:b/>
          <w:color w:val="000000"/>
        </w:rPr>
        <w:t>.2022</w:t>
      </w:r>
      <w:r>
        <w:rPr>
          <w:color w:val="000000"/>
        </w:rPr>
        <w:tab/>
      </w:r>
      <w:r>
        <w:rPr>
          <w:color w:val="000000"/>
        </w:rPr>
        <w:tab/>
      </w:r>
      <w:r>
        <w:rPr>
          <w:color w:val="000000"/>
        </w:rPr>
        <w:tab/>
      </w:r>
      <w:r w:rsidRPr="000610A5">
        <w:rPr>
          <w:b/>
          <w:color w:val="000000"/>
        </w:rPr>
        <w:t xml:space="preserve">     </w:t>
      </w:r>
      <w:r>
        <w:rPr>
          <w:b/>
          <w:color w:val="000000"/>
        </w:rPr>
        <w:t>23</w:t>
      </w:r>
      <w:r w:rsidRPr="00103450">
        <w:rPr>
          <w:b/>
          <w:color w:val="000000"/>
        </w:rPr>
        <w:tab/>
      </w:r>
      <w:r w:rsidRPr="00103450">
        <w:rPr>
          <w:b/>
          <w:color w:val="000000"/>
        </w:rPr>
        <w:tab/>
        <w:t xml:space="preserve">   </w:t>
      </w:r>
      <w:r>
        <w:rPr>
          <w:b/>
          <w:color w:val="000000"/>
        </w:rPr>
        <w:t xml:space="preserve">                26</w:t>
      </w:r>
      <w:r w:rsidRPr="00103450">
        <w:rPr>
          <w:b/>
          <w:color w:val="000000"/>
        </w:rPr>
        <w:tab/>
      </w:r>
      <w:r>
        <w:rPr>
          <w:b/>
          <w:color w:val="000000"/>
        </w:rPr>
        <w:t xml:space="preserve">           19.119</w:t>
      </w:r>
      <w:r w:rsidRPr="00103450">
        <w:rPr>
          <w:b/>
          <w:color w:val="000000"/>
        </w:rPr>
        <w:t xml:space="preserve"> </w:t>
      </w:r>
    </w:p>
    <w:p w:rsidR="00F20BC4" w:rsidRDefault="00F20BC4" w:rsidP="00263666">
      <w:pPr>
        <w:spacing w:line="360" w:lineRule="auto"/>
        <w:ind w:left="720" w:firstLine="720"/>
        <w:rPr>
          <w:b/>
          <w:sz w:val="24"/>
          <w:szCs w:val="24"/>
          <w:u w:val="single"/>
        </w:rPr>
      </w:pPr>
    </w:p>
    <w:p w:rsidR="00F37D58" w:rsidRPr="00F37D58" w:rsidRDefault="00F37D58" w:rsidP="00263666">
      <w:pPr>
        <w:spacing w:line="360" w:lineRule="auto"/>
        <w:ind w:left="720" w:firstLine="720"/>
        <w:rPr>
          <w:b/>
          <w:sz w:val="24"/>
          <w:szCs w:val="24"/>
          <w:u w:val="single"/>
        </w:rPr>
      </w:pPr>
      <w:r w:rsidRPr="00F37D58">
        <w:rPr>
          <w:b/>
          <w:sz w:val="24"/>
          <w:szCs w:val="24"/>
          <w:u w:val="single"/>
        </w:rPr>
        <w:t>Juridic</w:t>
      </w:r>
    </w:p>
    <w:p w:rsidR="004262B1" w:rsidRPr="00A0608D" w:rsidRDefault="004262B1" w:rsidP="004262B1">
      <w:pPr>
        <w:spacing w:after="0" w:line="360" w:lineRule="auto"/>
        <w:ind w:left="720" w:firstLine="720"/>
        <w:rPr>
          <w:rFonts w:cs="Arial"/>
          <w:sz w:val="24"/>
          <w:szCs w:val="24"/>
          <w:lang w:val="it-IT"/>
        </w:rPr>
      </w:pPr>
      <w:r w:rsidRPr="00A0608D">
        <w:rPr>
          <w:rFonts w:cs="Arial"/>
          <w:sz w:val="24"/>
          <w:szCs w:val="24"/>
          <w:lang w:val="it-IT"/>
        </w:rPr>
        <w:t>Avizarea din punct de vedere juridic a actelor administrative emise de conducerea agenției, a contractelor și a convențiilor.</w:t>
      </w:r>
    </w:p>
    <w:p w:rsidR="00F37D58" w:rsidRPr="00633E01" w:rsidRDefault="00F37D58" w:rsidP="004262B1">
      <w:pPr>
        <w:spacing w:after="0" w:line="360" w:lineRule="auto"/>
        <w:ind w:left="720" w:firstLine="720"/>
        <w:rPr>
          <w:rFonts w:cs="Arial"/>
          <w:sz w:val="24"/>
          <w:szCs w:val="24"/>
          <w:lang w:val="es-ES"/>
        </w:rPr>
      </w:pPr>
      <w:r w:rsidRPr="00633E01">
        <w:rPr>
          <w:rFonts w:cs="Arial"/>
          <w:sz w:val="24"/>
          <w:szCs w:val="24"/>
          <w:lang w:val="es-ES"/>
        </w:rPr>
        <w:t xml:space="preserve">Urmărirea rezolvării unui numar de </w:t>
      </w:r>
      <w:r w:rsidR="00451EF3">
        <w:rPr>
          <w:rFonts w:cs="Arial"/>
          <w:sz w:val="24"/>
          <w:szCs w:val="24"/>
          <w:lang w:val="es-ES"/>
        </w:rPr>
        <w:t>5</w:t>
      </w:r>
      <w:r w:rsidRPr="00633E01">
        <w:rPr>
          <w:rFonts w:cs="Arial"/>
          <w:sz w:val="24"/>
          <w:szCs w:val="24"/>
          <w:lang w:val="es-ES"/>
        </w:rPr>
        <w:t xml:space="preserve"> petiții privind solicitări de loc de muncă.</w:t>
      </w:r>
    </w:p>
    <w:p w:rsidR="00F37D58" w:rsidRDefault="00F37D58" w:rsidP="00263666">
      <w:pPr>
        <w:spacing w:line="360" w:lineRule="auto"/>
        <w:ind w:left="720" w:firstLine="720"/>
        <w:rPr>
          <w:rFonts w:cs="Arial"/>
          <w:sz w:val="24"/>
          <w:szCs w:val="24"/>
          <w:lang w:val="fr-FR"/>
        </w:rPr>
      </w:pPr>
      <w:r w:rsidRPr="00633E01">
        <w:rPr>
          <w:rFonts w:cs="Arial"/>
          <w:sz w:val="24"/>
          <w:szCs w:val="24"/>
          <w:lang w:val="fr-FR"/>
        </w:rPr>
        <w:t xml:space="preserve">Intocmirea de acțiuni, întâmpinări, apeluri, recursuri în litigiile generate de aplicarea legislației specifice activității agenției pentru prezentarea la instanțele de judecată și participarea la  procesele aflate pe rolul instanțelor de judecată în care agenția este parte, în număr de 18 cauze. </w:t>
      </w:r>
    </w:p>
    <w:p w:rsidR="00216BB8" w:rsidRPr="00633E01" w:rsidRDefault="00216BB8" w:rsidP="00035902">
      <w:pPr>
        <w:spacing w:after="0" w:line="360" w:lineRule="auto"/>
        <w:ind w:left="720" w:firstLine="720"/>
        <w:rPr>
          <w:rFonts w:cs="Arial"/>
          <w:sz w:val="24"/>
          <w:szCs w:val="24"/>
          <w:lang w:val="fr-FR"/>
        </w:rPr>
      </w:pPr>
    </w:p>
    <w:p w:rsidR="00F37D58" w:rsidRDefault="00F37D58" w:rsidP="00035902">
      <w:pPr>
        <w:spacing w:after="0" w:line="360" w:lineRule="auto"/>
        <w:ind w:left="720" w:firstLine="720"/>
        <w:rPr>
          <w:b/>
          <w:sz w:val="24"/>
          <w:szCs w:val="24"/>
          <w:u w:val="single"/>
        </w:rPr>
      </w:pPr>
      <w:r w:rsidRPr="00C11849">
        <w:rPr>
          <w:b/>
          <w:sz w:val="24"/>
          <w:szCs w:val="24"/>
          <w:u w:val="single"/>
        </w:rPr>
        <w:t>Control  Indeplinirea Măsurilor Asiguratorii şi Executare Silită a Debitelor</w:t>
      </w:r>
    </w:p>
    <w:p w:rsidR="00035902" w:rsidRPr="00C11849" w:rsidRDefault="00035902" w:rsidP="00035902">
      <w:pPr>
        <w:spacing w:after="0" w:line="360" w:lineRule="auto"/>
        <w:ind w:left="720" w:firstLine="720"/>
        <w:rPr>
          <w:b/>
          <w:sz w:val="24"/>
          <w:szCs w:val="24"/>
          <w:u w:val="single"/>
        </w:rPr>
      </w:pPr>
    </w:p>
    <w:p w:rsidR="00465D7D" w:rsidRPr="00FE4305" w:rsidRDefault="00465D7D" w:rsidP="00886631">
      <w:pPr>
        <w:spacing w:after="0" w:line="360" w:lineRule="auto"/>
        <w:ind w:left="720" w:firstLine="720"/>
        <w:rPr>
          <w:sz w:val="24"/>
          <w:szCs w:val="24"/>
        </w:rPr>
      </w:pPr>
      <w:r w:rsidRPr="00FE4305">
        <w:rPr>
          <w:sz w:val="24"/>
          <w:szCs w:val="24"/>
        </w:rPr>
        <w:t xml:space="preserve">Conform programului anual de control cât și în urma unor sesizări, în </w:t>
      </w:r>
      <w:r w:rsidR="00886631">
        <w:rPr>
          <w:sz w:val="24"/>
          <w:szCs w:val="24"/>
        </w:rPr>
        <w:t xml:space="preserve">anul </w:t>
      </w:r>
      <w:r w:rsidRPr="00FE4305">
        <w:rPr>
          <w:sz w:val="24"/>
          <w:szCs w:val="24"/>
        </w:rPr>
        <w:t xml:space="preserve">2022, au fost efectuate </w:t>
      </w:r>
      <w:r w:rsidR="00451EF3">
        <w:rPr>
          <w:sz w:val="24"/>
          <w:szCs w:val="24"/>
        </w:rPr>
        <w:t>500</w:t>
      </w:r>
      <w:r w:rsidRPr="00FE4305">
        <w:rPr>
          <w:b/>
          <w:sz w:val="24"/>
          <w:szCs w:val="24"/>
        </w:rPr>
        <w:t xml:space="preserve"> </w:t>
      </w:r>
      <w:r w:rsidRPr="00FE4305">
        <w:rPr>
          <w:sz w:val="24"/>
          <w:szCs w:val="24"/>
        </w:rPr>
        <w:t xml:space="preserve">controale la agenţi economici de pe raza județului Argeș. </w:t>
      </w:r>
    </w:p>
    <w:p w:rsidR="00465D7D" w:rsidRPr="00FE4305" w:rsidRDefault="00465D7D" w:rsidP="00886631">
      <w:pPr>
        <w:spacing w:after="0" w:line="360" w:lineRule="auto"/>
        <w:ind w:left="720" w:firstLine="720"/>
        <w:rPr>
          <w:sz w:val="24"/>
          <w:szCs w:val="24"/>
        </w:rPr>
      </w:pPr>
      <w:r w:rsidRPr="00FE4305">
        <w:rPr>
          <w:sz w:val="24"/>
          <w:szCs w:val="24"/>
        </w:rPr>
        <w:t>Au fost constatate 8</w:t>
      </w:r>
      <w:r w:rsidRPr="00FE4305">
        <w:rPr>
          <w:b/>
          <w:sz w:val="24"/>
          <w:szCs w:val="24"/>
        </w:rPr>
        <w:t xml:space="preserve"> </w:t>
      </w:r>
      <w:r w:rsidRPr="00FE4305">
        <w:rPr>
          <w:sz w:val="24"/>
          <w:szCs w:val="24"/>
        </w:rPr>
        <w:t>abateri de la prevederile legale după cum urmează:</w:t>
      </w:r>
    </w:p>
    <w:p w:rsidR="00465D7D" w:rsidRPr="00FE4305" w:rsidRDefault="00465D7D" w:rsidP="00886631">
      <w:pPr>
        <w:spacing w:after="0" w:line="360" w:lineRule="auto"/>
        <w:ind w:left="720"/>
        <w:rPr>
          <w:rFonts w:eastAsia="Times New Roman"/>
          <w:sz w:val="24"/>
          <w:szCs w:val="24"/>
          <w:lang w:val="ro-RO"/>
        </w:rPr>
      </w:pPr>
      <w:r w:rsidRPr="00FE4305">
        <w:rPr>
          <w:sz w:val="24"/>
          <w:szCs w:val="24"/>
        </w:rPr>
        <w:t>-</w:t>
      </w:r>
      <w:r w:rsidRPr="00FE4305">
        <w:rPr>
          <w:rFonts w:eastAsia="Times New Roman"/>
          <w:sz w:val="24"/>
          <w:szCs w:val="24"/>
          <w:lang w:val="ro-RO"/>
        </w:rPr>
        <w:t xml:space="preserve"> pentru nerespectarea prevederilor Legii nr. 279/2005, modificată şi completată, s-a constatat  un debit in suma de 2.260 lei.</w:t>
      </w:r>
    </w:p>
    <w:p w:rsidR="00465D7D" w:rsidRDefault="00465D7D" w:rsidP="00886631">
      <w:pPr>
        <w:spacing w:line="360" w:lineRule="auto"/>
        <w:ind w:left="720"/>
        <w:rPr>
          <w:sz w:val="24"/>
          <w:szCs w:val="24"/>
        </w:rPr>
      </w:pPr>
      <w:r w:rsidRPr="00FE4305">
        <w:rPr>
          <w:sz w:val="24"/>
          <w:szCs w:val="24"/>
        </w:rPr>
        <w:lastRenderedPageBreak/>
        <w:t xml:space="preserve">- pentru nerespectarea prevederilor art. 83 alin 2 din Legea nr.76/2002 </w:t>
      </w:r>
      <w:r w:rsidRPr="00FE4305">
        <w:rPr>
          <w:rStyle w:val="HTMLCite"/>
          <w:rFonts w:cs="Courier New"/>
          <w:color w:val="000000"/>
          <w:sz w:val="24"/>
          <w:szCs w:val="24"/>
        </w:rPr>
        <w:t>privind sistemul asigurărilor pentru șomaj și stimularea ocupării forței de muncă, cu modificările și completările ulterioare</w:t>
      </w:r>
      <w:r w:rsidRPr="00FE4305">
        <w:rPr>
          <w:sz w:val="24"/>
          <w:szCs w:val="24"/>
        </w:rPr>
        <w:t xml:space="preserve"> s-au constatat  7  debite,  în sumă de 10</w:t>
      </w:r>
      <w:r w:rsidR="00451EF3">
        <w:rPr>
          <w:sz w:val="24"/>
          <w:szCs w:val="24"/>
        </w:rPr>
        <w:t>4</w:t>
      </w:r>
      <w:r w:rsidRPr="00FE4305">
        <w:rPr>
          <w:sz w:val="24"/>
          <w:szCs w:val="24"/>
        </w:rPr>
        <w:t>.</w:t>
      </w:r>
      <w:r w:rsidR="00451EF3">
        <w:rPr>
          <w:sz w:val="24"/>
          <w:szCs w:val="24"/>
        </w:rPr>
        <w:t>110</w:t>
      </w:r>
      <w:r w:rsidRPr="00FE4305">
        <w:rPr>
          <w:sz w:val="24"/>
          <w:szCs w:val="24"/>
        </w:rPr>
        <w:t xml:space="preserve"> lei.</w:t>
      </w:r>
    </w:p>
    <w:p w:rsidR="00216BB8" w:rsidRDefault="00216BB8" w:rsidP="00886631">
      <w:pPr>
        <w:spacing w:line="360" w:lineRule="auto"/>
        <w:ind w:left="720"/>
        <w:rPr>
          <w:sz w:val="24"/>
          <w:szCs w:val="24"/>
        </w:rPr>
      </w:pPr>
    </w:p>
    <w:p w:rsidR="005D37EF" w:rsidRPr="00F37D58" w:rsidRDefault="005D37EF" w:rsidP="00CC0953">
      <w:pPr>
        <w:spacing w:after="100" w:afterAutospacing="1" w:line="360" w:lineRule="auto"/>
        <w:ind w:left="720" w:firstLine="720"/>
        <w:rPr>
          <w:b/>
          <w:sz w:val="24"/>
          <w:szCs w:val="24"/>
          <w:u w:val="single"/>
        </w:rPr>
      </w:pPr>
      <w:r w:rsidRPr="00F37D58">
        <w:rPr>
          <w:b/>
          <w:sz w:val="24"/>
          <w:szCs w:val="24"/>
          <w:u w:val="single"/>
        </w:rPr>
        <w:t>Munca în străinătate (EURES 2022)</w:t>
      </w:r>
    </w:p>
    <w:p w:rsidR="004262B1" w:rsidRDefault="005D37EF" w:rsidP="00CC0953">
      <w:pPr>
        <w:spacing w:after="0" w:line="360" w:lineRule="auto"/>
        <w:ind w:left="720" w:firstLine="720"/>
      </w:pPr>
      <w:r w:rsidRPr="00540C92">
        <w:rPr>
          <w:rFonts w:cs="Arial"/>
          <w:sz w:val="24"/>
          <w:szCs w:val="24"/>
        </w:rPr>
        <w:t xml:space="preserve">Prin furnizarea serviciilor </w:t>
      </w:r>
      <w:r w:rsidRPr="00540C92">
        <w:rPr>
          <w:rFonts w:cs="Arial"/>
          <w:b/>
          <w:sz w:val="24"/>
          <w:szCs w:val="24"/>
        </w:rPr>
        <w:t>EURES</w:t>
      </w:r>
      <w:r w:rsidRPr="00540C92">
        <w:rPr>
          <w:rFonts w:cs="Arial"/>
          <w:sz w:val="24"/>
          <w:szCs w:val="24"/>
        </w:rPr>
        <w:t xml:space="preserve"> prevăzute de legislația comunitară cu privire la compensarea ofertelor și a cererilor de locuri de muncă în cadrul Uniunii Europene,</w:t>
      </w:r>
      <w:r w:rsidRPr="00540C92">
        <w:rPr>
          <w:sz w:val="24"/>
          <w:szCs w:val="24"/>
        </w:rPr>
        <w:t xml:space="preserve"> au fost  consiliate  </w:t>
      </w:r>
      <w:r w:rsidR="004262B1">
        <w:rPr>
          <w:sz w:val="24"/>
          <w:szCs w:val="24"/>
        </w:rPr>
        <w:t>72</w:t>
      </w:r>
      <w:r w:rsidRPr="00540C92">
        <w:rPr>
          <w:sz w:val="24"/>
          <w:szCs w:val="24"/>
        </w:rPr>
        <w:t xml:space="preserve"> persoane, din care 3</w:t>
      </w:r>
      <w:r w:rsidR="004262B1">
        <w:rPr>
          <w:sz w:val="24"/>
          <w:szCs w:val="24"/>
        </w:rPr>
        <w:t>9</w:t>
      </w:r>
      <w:r w:rsidRPr="00540C92">
        <w:rPr>
          <w:sz w:val="24"/>
          <w:szCs w:val="24"/>
        </w:rPr>
        <w:t xml:space="preserve"> femei. Consilierul EURES din cadrul AJOFM Arge</w:t>
      </w:r>
      <w:r w:rsidR="002F7514">
        <w:rPr>
          <w:sz w:val="24"/>
          <w:szCs w:val="24"/>
          <w:lang w:val="ro-RO"/>
        </w:rPr>
        <w:t>ș</w:t>
      </w:r>
      <w:r w:rsidRPr="00540C92">
        <w:rPr>
          <w:sz w:val="24"/>
          <w:szCs w:val="24"/>
        </w:rPr>
        <w:t>, care are ca specializare principal</w:t>
      </w:r>
      <w:r w:rsidR="002F7514">
        <w:rPr>
          <w:sz w:val="24"/>
          <w:szCs w:val="24"/>
        </w:rPr>
        <w:t>ă</w:t>
      </w:r>
      <w:r w:rsidRPr="00540C92">
        <w:rPr>
          <w:sz w:val="24"/>
          <w:szCs w:val="24"/>
        </w:rPr>
        <w:t xml:space="preserve"> Finlanda, a încărcat pe portalul EURES din România 5</w:t>
      </w:r>
      <w:r w:rsidR="004262B1">
        <w:rPr>
          <w:sz w:val="24"/>
          <w:szCs w:val="24"/>
        </w:rPr>
        <w:t>16</w:t>
      </w:r>
      <w:r w:rsidRPr="00540C92">
        <w:rPr>
          <w:sz w:val="24"/>
          <w:szCs w:val="24"/>
        </w:rPr>
        <w:t xml:space="preserve"> oferte de locuri de muncă vacante în meserii precum lucrători în agricultură, grădin</w:t>
      </w:r>
      <w:r w:rsidR="002F7514">
        <w:rPr>
          <w:sz w:val="24"/>
          <w:szCs w:val="24"/>
        </w:rPr>
        <w:t>ă</w:t>
      </w:r>
      <w:r w:rsidRPr="00540C92">
        <w:rPr>
          <w:sz w:val="24"/>
          <w:szCs w:val="24"/>
        </w:rPr>
        <w:t>rit și horticultură, sudori, mecanici auto, personal în curățenie, lucrători în ferme de animale sau vegetale, lucrători în bucătărie, muncitori în industria alimentară), luând contact cu 3</w:t>
      </w:r>
      <w:r w:rsidR="004262B1">
        <w:rPr>
          <w:sz w:val="24"/>
          <w:szCs w:val="24"/>
        </w:rPr>
        <w:t>3</w:t>
      </w:r>
      <w:r w:rsidRPr="00540C92">
        <w:rPr>
          <w:sz w:val="24"/>
          <w:szCs w:val="24"/>
        </w:rPr>
        <w:t xml:space="preserve"> angajatori finlandezi. In </w:t>
      </w:r>
      <w:r w:rsidR="004262B1">
        <w:rPr>
          <w:sz w:val="24"/>
          <w:szCs w:val="24"/>
        </w:rPr>
        <w:t xml:space="preserve">anul </w:t>
      </w:r>
      <w:r w:rsidRPr="00540C92">
        <w:rPr>
          <w:sz w:val="24"/>
          <w:szCs w:val="24"/>
        </w:rPr>
        <w:t xml:space="preserve">2022, Finlanda este </w:t>
      </w:r>
      <w:r w:rsidR="002F7514">
        <w:rPr>
          <w:sz w:val="24"/>
          <w:szCs w:val="24"/>
        </w:rPr>
        <w:t>ț</w:t>
      </w:r>
      <w:r w:rsidRPr="00540C92">
        <w:rPr>
          <w:sz w:val="24"/>
          <w:szCs w:val="24"/>
        </w:rPr>
        <w:t xml:space="preserve">ara din UE cu cele mai multe locuri de muncă vacante trimise în România prin rețeaua EURES. </w:t>
      </w:r>
      <w:r>
        <w:t xml:space="preserve">     </w:t>
      </w:r>
    </w:p>
    <w:p w:rsidR="00CC0953" w:rsidRDefault="004262B1" w:rsidP="00CC0953">
      <w:pPr>
        <w:spacing w:after="0" w:line="360" w:lineRule="auto"/>
        <w:ind w:left="720" w:firstLine="720"/>
        <w:rPr>
          <w:sz w:val="24"/>
          <w:szCs w:val="24"/>
        </w:rPr>
      </w:pPr>
      <w:r>
        <w:t>De asemenea, î</w:t>
      </w:r>
      <w:r w:rsidR="005D37EF" w:rsidRPr="00540C92">
        <w:rPr>
          <w:sz w:val="24"/>
          <w:szCs w:val="24"/>
        </w:rPr>
        <w:t>n</w:t>
      </w:r>
      <w:r>
        <w:rPr>
          <w:sz w:val="24"/>
          <w:szCs w:val="24"/>
        </w:rPr>
        <w:t xml:space="preserve"> anul</w:t>
      </w:r>
      <w:r w:rsidR="005D37EF" w:rsidRPr="00540C92">
        <w:rPr>
          <w:sz w:val="24"/>
          <w:szCs w:val="24"/>
        </w:rPr>
        <w:t xml:space="preserve"> 2022 au fost organizate două activități prevăz</w:t>
      </w:r>
      <w:r w:rsidR="002F7514">
        <w:rPr>
          <w:sz w:val="24"/>
          <w:szCs w:val="24"/>
        </w:rPr>
        <w:t>ute în planul național: “</w:t>
      </w:r>
      <w:r w:rsidR="005D37EF" w:rsidRPr="00540C92">
        <w:rPr>
          <w:sz w:val="24"/>
          <w:szCs w:val="24"/>
        </w:rPr>
        <w:t>Ziua Informării EURES dedicată PCLM</w:t>
      </w:r>
      <w:r w:rsidR="002F7514">
        <w:rPr>
          <w:sz w:val="24"/>
          <w:szCs w:val="24"/>
        </w:rPr>
        <w:t>”</w:t>
      </w:r>
      <w:r w:rsidR="005D37EF" w:rsidRPr="00540C92">
        <w:rPr>
          <w:sz w:val="24"/>
          <w:szCs w:val="24"/>
        </w:rPr>
        <w:t xml:space="preserve"> – având ca subiect general serviciile EURES și locurile de muncă vacante în UE/ SEE, organizată în luna mai 2022</w:t>
      </w:r>
      <w:r w:rsidR="002F7514">
        <w:rPr>
          <w:sz w:val="24"/>
          <w:szCs w:val="24"/>
        </w:rPr>
        <w:t>,</w:t>
      </w:r>
      <w:r w:rsidR="005D37EF" w:rsidRPr="00540C92">
        <w:rPr>
          <w:sz w:val="24"/>
          <w:szCs w:val="24"/>
        </w:rPr>
        <w:t xml:space="preserve"> la care au fost prezente 40 de persoane și seminarul “Condiții de muncă și de viață în  Finlanda”  dedicat PCLM , organizat în luna octombrie 2022, la care au fost prezente 30 de persoane.  </w:t>
      </w:r>
    </w:p>
    <w:p w:rsidR="00530737" w:rsidRDefault="00530737" w:rsidP="00CC0953">
      <w:pPr>
        <w:spacing w:after="0" w:line="360" w:lineRule="auto"/>
        <w:ind w:left="720" w:firstLine="720"/>
        <w:rPr>
          <w:sz w:val="24"/>
          <w:szCs w:val="24"/>
        </w:rPr>
      </w:pPr>
    </w:p>
    <w:p w:rsidR="004262B1" w:rsidRDefault="004262B1" w:rsidP="004262B1">
      <w:pPr>
        <w:spacing w:line="360" w:lineRule="auto"/>
        <w:ind w:left="720" w:firstLine="720"/>
        <w:rPr>
          <w:b/>
          <w:sz w:val="24"/>
          <w:szCs w:val="24"/>
          <w:u w:val="single"/>
        </w:rPr>
      </w:pPr>
      <w:r w:rsidRPr="004262B1">
        <w:rPr>
          <w:b/>
          <w:sz w:val="24"/>
          <w:szCs w:val="24"/>
          <w:u w:val="single"/>
        </w:rPr>
        <w:t>Comunicare</w:t>
      </w:r>
    </w:p>
    <w:p w:rsidR="004262B1" w:rsidRPr="00F566CB" w:rsidRDefault="004262B1" w:rsidP="004262B1">
      <w:pPr>
        <w:spacing w:after="200" w:line="240" w:lineRule="auto"/>
        <w:ind w:left="0" w:firstLine="720"/>
        <w:rPr>
          <w:sz w:val="24"/>
          <w:szCs w:val="24"/>
        </w:rPr>
      </w:pPr>
      <w:r w:rsidRPr="00F566CB">
        <w:rPr>
          <w:sz w:val="24"/>
          <w:szCs w:val="24"/>
        </w:rPr>
        <w:t>Comunicate de presă: 18;</w:t>
      </w:r>
    </w:p>
    <w:p w:rsidR="004262B1" w:rsidRPr="00F566CB" w:rsidRDefault="004262B1" w:rsidP="004262B1">
      <w:pPr>
        <w:spacing w:after="200" w:line="240" w:lineRule="auto"/>
        <w:ind w:left="0"/>
        <w:rPr>
          <w:sz w:val="24"/>
          <w:szCs w:val="24"/>
        </w:rPr>
      </w:pPr>
      <w:r w:rsidRPr="00F566CB">
        <w:rPr>
          <w:sz w:val="24"/>
          <w:szCs w:val="24"/>
        </w:rPr>
        <w:t xml:space="preserve">     </w:t>
      </w:r>
      <w:r w:rsidRPr="00F566CB">
        <w:rPr>
          <w:sz w:val="24"/>
          <w:szCs w:val="24"/>
        </w:rPr>
        <w:tab/>
        <w:t>Prezentarea ratei șomajului înregistrat în județ, în fiecare lună a anului 2022;</w:t>
      </w:r>
    </w:p>
    <w:p w:rsidR="004262B1" w:rsidRPr="00F566CB" w:rsidRDefault="004262B1" w:rsidP="004262B1">
      <w:pPr>
        <w:spacing w:line="360" w:lineRule="auto"/>
        <w:ind w:left="0" w:firstLine="720"/>
        <w:rPr>
          <w:rFonts w:cs="Arial"/>
          <w:sz w:val="24"/>
          <w:szCs w:val="24"/>
          <w:lang w:val="it-IT"/>
        </w:rPr>
      </w:pPr>
      <w:r w:rsidRPr="00F566CB">
        <w:rPr>
          <w:rFonts w:cs="Arial"/>
          <w:sz w:val="24"/>
          <w:szCs w:val="24"/>
          <w:lang w:val="it-IT"/>
        </w:rPr>
        <w:t>L</w:t>
      </w:r>
      <w:r w:rsidR="002F7514">
        <w:rPr>
          <w:rFonts w:cs="Arial"/>
          <w:sz w:val="24"/>
          <w:szCs w:val="24"/>
          <w:lang w:val="it-IT"/>
        </w:rPr>
        <w:t>ocuri de munc</w:t>
      </w:r>
      <w:r w:rsidR="002F7514">
        <w:rPr>
          <w:rFonts w:cs="Arial"/>
          <w:sz w:val="24"/>
          <w:szCs w:val="24"/>
          <w:lang w:val="ro-RO"/>
        </w:rPr>
        <w:t>ă vacante</w:t>
      </w:r>
      <w:r w:rsidRPr="00F566CB">
        <w:rPr>
          <w:rFonts w:cs="Arial"/>
          <w:sz w:val="24"/>
          <w:szCs w:val="24"/>
          <w:lang w:val="it-IT"/>
        </w:rPr>
        <w:t xml:space="preserve"> în Danemarca prin rețeaua EURES;</w:t>
      </w:r>
    </w:p>
    <w:p w:rsidR="004262B1" w:rsidRPr="00F566CB" w:rsidRDefault="004262B1" w:rsidP="004262B1">
      <w:pPr>
        <w:spacing w:line="360" w:lineRule="auto"/>
        <w:ind w:left="0" w:firstLine="720"/>
        <w:rPr>
          <w:rFonts w:cs="Arial"/>
          <w:sz w:val="24"/>
          <w:szCs w:val="24"/>
          <w:lang w:val="it-IT"/>
        </w:rPr>
      </w:pPr>
      <w:r w:rsidRPr="00F566CB">
        <w:rPr>
          <w:rFonts w:cs="Arial"/>
          <w:sz w:val="24"/>
          <w:szCs w:val="24"/>
          <w:lang w:val="it-IT"/>
        </w:rPr>
        <w:t>Model document plată șomaj tehnic;</w:t>
      </w:r>
    </w:p>
    <w:p w:rsidR="004262B1" w:rsidRPr="00F566CB" w:rsidRDefault="004262B1" w:rsidP="004262B1">
      <w:pPr>
        <w:spacing w:line="360" w:lineRule="auto"/>
        <w:ind w:left="0" w:firstLine="720"/>
        <w:rPr>
          <w:rFonts w:cs="Arial"/>
          <w:sz w:val="24"/>
          <w:szCs w:val="24"/>
          <w:lang w:val="it-IT"/>
        </w:rPr>
      </w:pPr>
      <w:r w:rsidRPr="00F566CB">
        <w:rPr>
          <w:rFonts w:cs="Arial"/>
          <w:sz w:val="24"/>
          <w:szCs w:val="24"/>
          <w:lang w:val="it-IT"/>
        </w:rPr>
        <w:t>Proiect “Facilitarea inserției pe piața muncii a persoanelor cu dizabilități”;</w:t>
      </w:r>
    </w:p>
    <w:p w:rsidR="004262B1" w:rsidRPr="00F566CB" w:rsidRDefault="004262B1" w:rsidP="004262B1">
      <w:pPr>
        <w:spacing w:line="360" w:lineRule="auto"/>
        <w:ind w:left="0" w:firstLine="720"/>
        <w:rPr>
          <w:rFonts w:cs="Arial"/>
          <w:sz w:val="24"/>
          <w:szCs w:val="24"/>
          <w:lang w:val="it-IT"/>
        </w:rPr>
      </w:pPr>
      <w:r w:rsidRPr="00F566CB">
        <w:rPr>
          <w:rFonts w:cs="Arial"/>
          <w:sz w:val="24"/>
          <w:szCs w:val="24"/>
          <w:lang w:val="it-IT"/>
        </w:rPr>
        <w:lastRenderedPageBreak/>
        <w:t>Bursa Locurilor de Muncă Vacante, mai 2022;</w:t>
      </w:r>
    </w:p>
    <w:p w:rsidR="004262B1" w:rsidRPr="00F566CB" w:rsidRDefault="004262B1" w:rsidP="004262B1">
      <w:pPr>
        <w:spacing w:line="360" w:lineRule="auto"/>
        <w:ind w:left="0" w:firstLine="720"/>
        <w:rPr>
          <w:rFonts w:cs="Arial"/>
          <w:sz w:val="24"/>
          <w:szCs w:val="24"/>
          <w:lang w:val="it-IT"/>
        </w:rPr>
      </w:pPr>
      <w:r w:rsidRPr="00F566CB">
        <w:rPr>
          <w:rFonts w:cs="Arial"/>
          <w:sz w:val="24"/>
          <w:szCs w:val="24"/>
          <w:lang w:val="it-IT"/>
        </w:rPr>
        <w:t xml:space="preserve">Bursa </w:t>
      </w:r>
      <w:r w:rsidR="00682839" w:rsidRPr="00F566CB">
        <w:rPr>
          <w:rFonts w:cs="Arial"/>
          <w:sz w:val="24"/>
          <w:szCs w:val="24"/>
          <w:lang w:val="it-IT"/>
        </w:rPr>
        <w:t xml:space="preserve">Locurilor de Muncă Vacante </w:t>
      </w:r>
      <w:r w:rsidRPr="00F566CB">
        <w:rPr>
          <w:rFonts w:cs="Arial"/>
          <w:sz w:val="24"/>
          <w:szCs w:val="24"/>
          <w:lang w:val="it-IT"/>
        </w:rPr>
        <w:t>pentru absolvenți</w:t>
      </w:r>
      <w:r w:rsidR="00682839">
        <w:rPr>
          <w:rFonts w:cs="Arial"/>
          <w:sz w:val="24"/>
          <w:szCs w:val="24"/>
          <w:lang w:val="it-IT"/>
        </w:rPr>
        <w:t>, octombrie 2022</w:t>
      </w:r>
      <w:r w:rsidRPr="00F566CB">
        <w:rPr>
          <w:rFonts w:cs="Arial"/>
          <w:sz w:val="24"/>
          <w:szCs w:val="24"/>
          <w:lang w:val="it-IT"/>
        </w:rPr>
        <w:t>;</w:t>
      </w:r>
    </w:p>
    <w:p w:rsidR="004262B1" w:rsidRPr="00F566CB" w:rsidRDefault="004262B1" w:rsidP="004262B1">
      <w:pPr>
        <w:numPr>
          <w:ilvl w:val="0"/>
          <w:numId w:val="7"/>
        </w:numPr>
        <w:spacing w:after="0" w:line="360" w:lineRule="auto"/>
        <w:jc w:val="left"/>
        <w:rPr>
          <w:sz w:val="24"/>
          <w:szCs w:val="24"/>
        </w:rPr>
      </w:pPr>
      <w:r w:rsidRPr="00F566CB">
        <w:rPr>
          <w:sz w:val="24"/>
          <w:szCs w:val="24"/>
        </w:rPr>
        <w:t xml:space="preserve">Apariții Mass-Media (presa scrisă, audio </w:t>
      </w:r>
      <w:r w:rsidR="00682839">
        <w:rPr>
          <w:sz w:val="24"/>
          <w:szCs w:val="24"/>
          <w:lang w:val="ro-RO"/>
        </w:rPr>
        <w:t>ș</w:t>
      </w:r>
      <w:r w:rsidRPr="00F566CB">
        <w:rPr>
          <w:sz w:val="24"/>
          <w:szCs w:val="24"/>
        </w:rPr>
        <w:t>i video): 193;</w:t>
      </w:r>
    </w:p>
    <w:p w:rsidR="004262B1" w:rsidRPr="00F566CB" w:rsidRDefault="004262B1" w:rsidP="004262B1">
      <w:pPr>
        <w:numPr>
          <w:ilvl w:val="0"/>
          <w:numId w:val="7"/>
        </w:numPr>
        <w:spacing w:after="0" w:line="360" w:lineRule="auto"/>
        <w:rPr>
          <w:sz w:val="24"/>
          <w:szCs w:val="24"/>
        </w:rPr>
      </w:pPr>
      <w:r w:rsidRPr="00F566CB">
        <w:rPr>
          <w:sz w:val="24"/>
          <w:szCs w:val="24"/>
        </w:rPr>
        <w:t>Interviuri: 9.</w:t>
      </w:r>
    </w:p>
    <w:p w:rsidR="004262B1" w:rsidRPr="00F566CB" w:rsidRDefault="004262B1" w:rsidP="00CC0953">
      <w:pPr>
        <w:spacing w:after="0" w:line="360" w:lineRule="auto"/>
        <w:ind w:left="720" w:firstLine="720"/>
        <w:rPr>
          <w:sz w:val="24"/>
          <w:szCs w:val="24"/>
        </w:rPr>
      </w:pPr>
    </w:p>
    <w:p w:rsidR="004262B1" w:rsidRDefault="004262B1" w:rsidP="00CC0953">
      <w:pPr>
        <w:spacing w:after="0" w:line="360" w:lineRule="auto"/>
        <w:ind w:left="720" w:firstLine="720"/>
        <w:rPr>
          <w:sz w:val="24"/>
          <w:szCs w:val="24"/>
        </w:rPr>
      </w:pPr>
    </w:p>
    <w:p w:rsidR="00035902" w:rsidRDefault="00035902" w:rsidP="00CC0953">
      <w:pPr>
        <w:spacing w:after="0" w:line="360" w:lineRule="auto"/>
        <w:ind w:left="720" w:firstLine="720"/>
        <w:rPr>
          <w:sz w:val="24"/>
          <w:szCs w:val="24"/>
        </w:rPr>
      </w:pPr>
    </w:p>
    <w:p w:rsidR="00254E1F" w:rsidRPr="00254E1F" w:rsidRDefault="00254E1F" w:rsidP="00254E1F">
      <w:pPr>
        <w:spacing w:after="0" w:line="360" w:lineRule="auto"/>
        <w:ind w:left="0"/>
        <w:jc w:val="center"/>
        <w:rPr>
          <w:rFonts w:eastAsia="Calibri"/>
          <w:b/>
          <w:sz w:val="24"/>
          <w:szCs w:val="24"/>
          <w:lang w:val="it-IT"/>
        </w:rPr>
      </w:pPr>
      <w:r w:rsidRPr="00254E1F">
        <w:rPr>
          <w:rFonts w:eastAsia="Calibri"/>
          <w:b/>
          <w:sz w:val="24"/>
          <w:szCs w:val="24"/>
          <w:lang w:val="it-IT"/>
        </w:rPr>
        <w:t>Director executiv,</w:t>
      </w:r>
    </w:p>
    <w:p w:rsidR="00254E1F" w:rsidRPr="00254E1F" w:rsidRDefault="00254E1F" w:rsidP="00254E1F">
      <w:pPr>
        <w:spacing w:after="0" w:line="360" w:lineRule="auto"/>
        <w:ind w:left="0"/>
        <w:jc w:val="center"/>
        <w:rPr>
          <w:rFonts w:eastAsia="Calibri"/>
          <w:b/>
          <w:sz w:val="24"/>
          <w:szCs w:val="24"/>
          <w:lang w:val="it-IT"/>
        </w:rPr>
      </w:pPr>
      <w:r w:rsidRPr="00254E1F">
        <w:rPr>
          <w:rFonts w:eastAsia="Calibri"/>
          <w:b/>
          <w:sz w:val="24"/>
          <w:szCs w:val="24"/>
          <w:lang w:val="it-IT"/>
        </w:rPr>
        <w:t>Nicolae B</w:t>
      </w:r>
      <w:r w:rsidR="00E80E1A">
        <w:rPr>
          <w:rFonts w:eastAsia="Calibri"/>
          <w:b/>
          <w:sz w:val="24"/>
          <w:szCs w:val="24"/>
          <w:lang w:val="it-IT"/>
        </w:rPr>
        <w:t>ă</w:t>
      </w:r>
      <w:r w:rsidRPr="00254E1F">
        <w:rPr>
          <w:rFonts w:eastAsia="Calibri"/>
          <w:b/>
          <w:sz w:val="24"/>
          <w:szCs w:val="24"/>
          <w:lang w:val="it-IT"/>
        </w:rPr>
        <w:t>descu</w:t>
      </w:r>
    </w:p>
    <w:p w:rsidR="00EE380E" w:rsidRDefault="00EE380E" w:rsidP="00F23F04">
      <w:pPr>
        <w:pStyle w:val="Footer"/>
        <w:spacing w:after="0" w:line="240" w:lineRule="auto"/>
        <w:ind w:left="1440"/>
        <w:rPr>
          <w:rFonts w:ascii="Arial" w:eastAsia="Times New Roman" w:hAnsi="Arial" w:cs="Arial"/>
          <w:sz w:val="24"/>
          <w:szCs w:val="24"/>
          <w:lang w:val="ro-RO" w:eastAsia="ro-RO"/>
        </w:rPr>
      </w:pPr>
    </w:p>
    <w:p w:rsidR="00EE380E" w:rsidRDefault="00EE380E" w:rsidP="00F23F04">
      <w:pPr>
        <w:pStyle w:val="Footer"/>
        <w:spacing w:after="0" w:line="240" w:lineRule="auto"/>
        <w:ind w:left="1440"/>
        <w:rPr>
          <w:rFonts w:ascii="Arial" w:eastAsia="Times New Roman" w:hAnsi="Arial" w:cs="Arial"/>
          <w:sz w:val="24"/>
          <w:szCs w:val="24"/>
          <w:lang w:val="ro-RO" w:eastAsia="ro-RO"/>
        </w:rPr>
      </w:pPr>
    </w:p>
    <w:p w:rsidR="00035902" w:rsidRDefault="00035902" w:rsidP="00F23F04">
      <w:pPr>
        <w:pStyle w:val="Footer"/>
        <w:spacing w:after="0" w:line="240" w:lineRule="auto"/>
        <w:ind w:left="1440"/>
        <w:rPr>
          <w:sz w:val="14"/>
          <w:lang w:val="ro-RO"/>
        </w:rPr>
      </w:pPr>
    </w:p>
    <w:p w:rsidR="002F7514" w:rsidRDefault="002F7514"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6E248E" w:rsidRDefault="006E248E" w:rsidP="00F23F04">
      <w:pPr>
        <w:pStyle w:val="Footer"/>
        <w:spacing w:after="0" w:line="240" w:lineRule="auto"/>
        <w:ind w:left="1440"/>
        <w:rPr>
          <w:sz w:val="14"/>
          <w:lang w:val="ro-RO"/>
        </w:rPr>
      </w:pPr>
    </w:p>
    <w:p w:rsidR="002F7514" w:rsidRDefault="002F7514" w:rsidP="00F23F04">
      <w:pPr>
        <w:pStyle w:val="Footer"/>
        <w:spacing w:after="0" w:line="240" w:lineRule="auto"/>
        <w:ind w:left="1440"/>
        <w:rPr>
          <w:sz w:val="14"/>
          <w:lang w:val="ro-RO"/>
        </w:rPr>
      </w:pPr>
    </w:p>
    <w:p w:rsidR="002F7514" w:rsidRDefault="002F7514" w:rsidP="00F23F04">
      <w:pPr>
        <w:pStyle w:val="Footer"/>
        <w:spacing w:after="0" w:line="240" w:lineRule="auto"/>
        <w:ind w:left="1440"/>
        <w:rPr>
          <w:sz w:val="14"/>
          <w:lang w:val="ro-RO"/>
        </w:rPr>
      </w:pPr>
    </w:p>
    <w:p w:rsidR="00F44190" w:rsidRPr="002A367B" w:rsidRDefault="00F44190" w:rsidP="00F23F04">
      <w:pPr>
        <w:pStyle w:val="Footer"/>
        <w:spacing w:after="0" w:line="240" w:lineRule="auto"/>
        <w:ind w:left="1440"/>
        <w:rPr>
          <w:sz w:val="14"/>
          <w:lang w:val="ro-RO"/>
        </w:rPr>
      </w:pPr>
      <w:r w:rsidRPr="002A367B">
        <w:rPr>
          <w:sz w:val="14"/>
          <w:lang w:val="ro-RO"/>
        </w:rPr>
        <w:t xml:space="preserve">Începând cu data de 25 mai 2018,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 RGPD) este aplicat de toate statele Uniunii Europene. </w:t>
      </w:r>
    </w:p>
    <w:p w:rsidR="00F44190" w:rsidRPr="00F44190" w:rsidRDefault="00F44190" w:rsidP="00F23F04">
      <w:pPr>
        <w:pStyle w:val="Footer"/>
        <w:spacing w:after="0" w:line="240" w:lineRule="auto"/>
        <w:ind w:left="1440"/>
        <w:rPr>
          <w:sz w:val="14"/>
          <w:lang w:val="ro-RO"/>
        </w:rPr>
      </w:pPr>
      <w:r w:rsidRPr="002A367B">
        <w:rPr>
          <w:sz w:val="14"/>
          <w:lang w:val="ro-RO"/>
        </w:rPr>
        <w:t>ANOFM a stabilit măsuri tehnice și procedurale, pentru a proteja și pentru a asigura confidențialitatea, integritatea și accesibilitatea datelor dumneavoastră cu caracter personal. Vom preveni utilizarea sau accesul neautorizat şi încălcarea securității datelor cu caracter personal, în conformitate cu legislaţia în vigoare, iar în raportul de colaborare cu instituţia noastră, dumneavoastră aveţi obligaţia de a respecta prevederile Regulamentulu</w:t>
      </w:r>
      <w:r>
        <w:rPr>
          <w:sz w:val="14"/>
          <w:lang w:val="ro-RO"/>
        </w:rPr>
        <w:t>i (UE) 2016</w:t>
      </w:r>
    </w:p>
    <w:sectPr w:rsidR="00F44190" w:rsidRPr="00F44190" w:rsidSect="00623C12">
      <w:headerReference w:type="default" r:id="rId10"/>
      <w:footerReference w:type="default" r:id="rId11"/>
      <w:headerReference w:type="first" r:id="rId12"/>
      <w:footerReference w:type="first" r:id="rId13"/>
      <w:pgSz w:w="11900" w:h="16840"/>
      <w:pgMar w:top="1674" w:right="740" w:bottom="1702" w:left="81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470" w:rsidRDefault="004A5470" w:rsidP="00CD5B3B">
      <w:r>
        <w:separator/>
      </w:r>
    </w:p>
  </w:endnote>
  <w:endnote w:type="continuationSeparator" w:id="0">
    <w:p w:rsidR="004A5470" w:rsidRDefault="004A5470"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CE">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14" w:rsidRDefault="00582814" w:rsidP="00F44190">
    <w:pPr>
      <w:pStyle w:val="Footer"/>
      <w:spacing w:after="0" w:line="240" w:lineRule="auto"/>
      <w:ind w:left="1440" w:hanging="90"/>
      <w:rPr>
        <w:sz w:val="14"/>
        <w:szCs w:val="14"/>
        <w:lang w:val="ro-RO"/>
      </w:rPr>
    </w:pPr>
  </w:p>
  <w:p w:rsidR="00582814" w:rsidRPr="00302690" w:rsidRDefault="00582814" w:rsidP="00345644">
    <w:pPr>
      <w:pStyle w:val="Footer"/>
      <w:spacing w:after="0" w:line="240" w:lineRule="auto"/>
      <w:ind w:left="1440"/>
      <w:rPr>
        <w:color w:val="FF0000"/>
        <w:sz w:val="14"/>
        <w:szCs w:val="14"/>
        <w:lang w:val="ro-RO"/>
      </w:rPr>
    </w:pPr>
    <w:r w:rsidRPr="00302690">
      <w:rPr>
        <w:color w:val="FF0000"/>
        <w:sz w:val="14"/>
        <w:szCs w:val="14"/>
        <w:lang w:val="ro-RO"/>
      </w:rPr>
      <w:t xml:space="preserve">AGENŢIA </w:t>
    </w:r>
    <w:r>
      <w:rPr>
        <w:color w:val="FF0000"/>
        <w:sz w:val="14"/>
        <w:szCs w:val="14"/>
        <w:lang w:val="ro-RO"/>
      </w:rPr>
      <w:t>JUDETEANA</w:t>
    </w:r>
    <w:r w:rsidRPr="00302690">
      <w:rPr>
        <w:color w:val="FF0000"/>
        <w:sz w:val="14"/>
        <w:szCs w:val="14"/>
        <w:lang w:val="ro-RO"/>
      </w:rPr>
      <w:t xml:space="preserve"> PENTRU OCUPAREA FORŢEI DE MUNCĂ</w:t>
    </w:r>
    <w:r>
      <w:rPr>
        <w:color w:val="FF0000"/>
        <w:sz w:val="14"/>
        <w:szCs w:val="14"/>
        <w:lang w:val="ro-RO"/>
      </w:rPr>
      <w:t xml:space="preserve"> ARGES</w:t>
    </w:r>
    <w:r w:rsidR="00AC2277">
      <w:rPr>
        <w:color w:val="FF0000"/>
        <w:sz w:val="14"/>
        <w:szCs w:val="14"/>
        <w:lang w:val="ro-RO"/>
      </w:rPr>
      <w:tab/>
    </w:r>
    <w:r w:rsidRPr="00302690">
      <w:rPr>
        <w:color w:val="FF0000"/>
        <w:sz w:val="14"/>
        <w:szCs w:val="14"/>
        <w:lang w:val="ro-RO"/>
      </w:rPr>
      <w:t xml:space="preserve">pagina </w:t>
    </w:r>
    <w:r w:rsidRPr="00302690">
      <w:rPr>
        <w:color w:val="FF0000"/>
        <w:sz w:val="14"/>
        <w:szCs w:val="14"/>
        <w:lang w:val="ro-RO"/>
      </w:rPr>
      <w:fldChar w:fldCharType="begin"/>
    </w:r>
    <w:r w:rsidRPr="00302690">
      <w:rPr>
        <w:color w:val="FF0000"/>
        <w:sz w:val="14"/>
        <w:szCs w:val="14"/>
        <w:lang w:val="ro-RO"/>
      </w:rPr>
      <w:instrText>PAGE   \* MERGEFORMAT</w:instrText>
    </w:r>
    <w:r w:rsidRPr="00302690">
      <w:rPr>
        <w:color w:val="FF0000"/>
        <w:sz w:val="14"/>
        <w:szCs w:val="14"/>
        <w:lang w:val="ro-RO"/>
      </w:rPr>
      <w:fldChar w:fldCharType="separate"/>
    </w:r>
    <w:r w:rsidR="00374649">
      <w:rPr>
        <w:noProof/>
        <w:color w:val="FF0000"/>
        <w:sz w:val="14"/>
        <w:szCs w:val="14"/>
        <w:lang w:val="ro-RO"/>
      </w:rPr>
      <w:t>11</w:t>
    </w:r>
    <w:r w:rsidRPr="00302690">
      <w:rPr>
        <w:color w:val="FF0000"/>
        <w:sz w:val="14"/>
        <w:szCs w:val="14"/>
        <w:lang w:val="ro-RO"/>
      </w:rPr>
      <w:fldChar w:fldCharType="end"/>
    </w:r>
    <w:r w:rsidRPr="00302690">
      <w:rPr>
        <w:color w:val="FF0000"/>
        <w:sz w:val="14"/>
        <w:szCs w:val="14"/>
        <w:lang w:val="ro-RO"/>
      </w:rPr>
      <w:t xml:space="preserve"> din </w:t>
    </w:r>
    <w:r w:rsidRPr="00302690">
      <w:rPr>
        <w:color w:val="FF0000"/>
        <w:sz w:val="14"/>
        <w:szCs w:val="14"/>
        <w:lang w:val="ro-RO"/>
      </w:rPr>
      <w:fldChar w:fldCharType="begin"/>
    </w:r>
    <w:r w:rsidRPr="00302690">
      <w:rPr>
        <w:color w:val="FF0000"/>
        <w:sz w:val="14"/>
        <w:szCs w:val="14"/>
        <w:lang w:val="ro-RO"/>
      </w:rPr>
      <w:instrText xml:space="preserve"> NUMPAGES   \* MERGEFORMAT </w:instrText>
    </w:r>
    <w:r w:rsidRPr="00302690">
      <w:rPr>
        <w:color w:val="FF0000"/>
        <w:sz w:val="14"/>
        <w:szCs w:val="14"/>
        <w:lang w:val="ro-RO"/>
      </w:rPr>
      <w:fldChar w:fldCharType="separate"/>
    </w:r>
    <w:r w:rsidR="00374649">
      <w:rPr>
        <w:noProof/>
        <w:color w:val="FF0000"/>
        <w:sz w:val="14"/>
        <w:szCs w:val="14"/>
        <w:lang w:val="ro-RO"/>
      </w:rPr>
      <w:t>11</w:t>
    </w:r>
    <w:r w:rsidRPr="00302690">
      <w:rPr>
        <w:color w:val="FF0000"/>
        <w:sz w:val="14"/>
        <w:szCs w:val="14"/>
        <w:lang w:val="ro-RO"/>
      </w:rPr>
      <w:fldChar w:fldCharType="end"/>
    </w:r>
  </w:p>
  <w:p w:rsidR="00582814" w:rsidRPr="00302690" w:rsidRDefault="00582814" w:rsidP="00345644">
    <w:pPr>
      <w:pStyle w:val="Footer"/>
      <w:spacing w:after="0" w:line="240" w:lineRule="auto"/>
      <w:ind w:left="1440"/>
      <w:rPr>
        <w:color w:val="FF0000"/>
        <w:sz w:val="14"/>
        <w:szCs w:val="14"/>
        <w:lang w:val="ro-RO"/>
      </w:rPr>
    </w:pPr>
    <w:r w:rsidRPr="00302690">
      <w:rPr>
        <w:color w:val="FF0000"/>
        <w:sz w:val="14"/>
        <w:szCs w:val="14"/>
        <w:lang w:val="ro-RO"/>
      </w:rPr>
      <w:t xml:space="preserve">Operator de date cu caracter personal nr. </w:t>
    </w:r>
    <w:r>
      <w:rPr>
        <w:color w:val="FF0000"/>
        <w:sz w:val="14"/>
        <w:szCs w:val="14"/>
        <w:lang w:val="ro-RO"/>
      </w:rPr>
      <w:t>555</w:t>
    </w:r>
  </w:p>
  <w:p w:rsidR="00582814" w:rsidRPr="00302690" w:rsidRDefault="00582814" w:rsidP="00345644">
    <w:pPr>
      <w:pStyle w:val="Footer"/>
      <w:spacing w:after="0" w:line="240" w:lineRule="auto"/>
      <w:ind w:left="1440"/>
      <w:rPr>
        <w:color w:val="FF0000"/>
        <w:sz w:val="14"/>
        <w:szCs w:val="14"/>
        <w:lang w:val="ro-RO"/>
      </w:rPr>
    </w:pPr>
    <w:r>
      <w:rPr>
        <w:color w:val="FF0000"/>
        <w:sz w:val="14"/>
        <w:szCs w:val="14"/>
        <w:lang w:val="ro-RO"/>
      </w:rPr>
      <w:t>Bdul Republicii nr. 11, Pitesti</w:t>
    </w:r>
  </w:p>
  <w:p w:rsidR="00582814" w:rsidRPr="00302690" w:rsidRDefault="00582814" w:rsidP="00345644">
    <w:pPr>
      <w:pStyle w:val="Footer"/>
      <w:spacing w:after="0" w:line="240" w:lineRule="auto"/>
      <w:ind w:left="1440"/>
      <w:rPr>
        <w:color w:val="FF0000"/>
        <w:sz w:val="14"/>
        <w:szCs w:val="14"/>
        <w:lang w:val="ro-RO"/>
      </w:rPr>
    </w:pPr>
    <w:r w:rsidRPr="00302690">
      <w:rPr>
        <w:color w:val="FF0000"/>
        <w:sz w:val="14"/>
        <w:szCs w:val="14"/>
        <w:lang w:val="ro-RO"/>
      </w:rPr>
      <w:t xml:space="preserve">Tel.: +4 </w:t>
    </w:r>
    <w:r>
      <w:rPr>
        <w:color w:val="FF0000"/>
        <w:sz w:val="14"/>
        <w:szCs w:val="14"/>
        <w:lang w:val="ro-RO"/>
      </w:rPr>
      <w:t>0248222415</w:t>
    </w:r>
    <w:r w:rsidRPr="00302690">
      <w:rPr>
        <w:color w:val="FF0000"/>
        <w:sz w:val="14"/>
        <w:szCs w:val="14"/>
        <w:lang w:val="ro-RO"/>
      </w:rPr>
      <w:t xml:space="preserve">; Fax: +4 </w:t>
    </w:r>
    <w:r>
      <w:rPr>
        <w:color w:val="FF0000"/>
        <w:sz w:val="14"/>
        <w:szCs w:val="14"/>
        <w:lang w:val="ro-RO"/>
      </w:rPr>
      <w:t>0248222582</w:t>
    </w:r>
  </w:p>
  <w:p w:rsidR="00582814" w:rsidRPr="00302690" w:rsidRDefault="00AC2277" w:rsidP="00345644">
    <w:pPr>
      <w:pStyle w:val="Footer"/>
      <w:spacing w:after="0" w:line="240" w:lineRule="auto"/>
      <w:ind w:left="1440"/>
      <w:rPr>
        <w:color w:val="FF0000"/>
        <w:sz w:val="14"/>
        <w:szCs w:val="14"/>
        <w:lang w:val="ro-RO"/>
      </w:rPr>
    </w:pPr>
    <w:r w:rsidRPr="00302690">
      <w:rPr>
        <w:color w:val="FF0000"/>
        <w:sz w:val="14"/>
        <w:szCs w:val="14"/>
        <w:lang w:val="ro-RO"/>
      </w:rPr>
      <w:t xml:space="preserve">e-mail: </w:t>
    </w:r>
    <w:r w:rsidRPr="00345644">
      <w:rPr>
        <w:color w:val="FF0000"/>
        <w:sz w:val="14"/>
        <w:szCs w:val="14"/>
        <w:lang w:val="ro-RO"/>
      </w:rPr>
      <w:t>ajofm</w:t>
    </w:r>
    <w:r>
      <w:rPr>
        <w:color w:val="FF0000"/>
        <w:sz w:val="14"/>
        <w:szCs w:val="14"/>
        <w:lang w:val="ro-RO"/>
      </w:rPr>
      <w:t>.ag@</w:t>
    </w:r>
    <w:r w:rsidRPr="00345644">
      <w:rPr>
        <w:color w:val="FF0000"/>
        <w:sz w:val="14"/>
        <w:szCs w:val="14"/>
        <w:lang w:val="ro-RO"/>
      </w:rPr>
      <w:t>anofm</w:t>
    </w:r>
    <w:r>
      <w:rPr>
        <w:color w:val="FF0000"/>
        <w:sz w:val="14"/>
        <w:szCs w:val="14"/>
        <w:lang w:val="ro-RO"/>
      </w:rPr>
      <w:t>.gov</w:t>
    </w:r>
    <w:r w:rsidRPr="00345644">
      <w:rPr>
        <w:color w:val="FF0000"/>
        <w:sz w:val="14"/>
        <w:szCs w:val="14"/>
        <w:lang w:val="ro-RO"/>
      </w:rPr>
      <w:t>.ro</w:t>
    </w:r>
    <w:r w:rsidRPr="00302690">
      <w:rPr>
        <w:color w:val="FF0000"/>
        <w:sz w:val="14"/>
        <w:szCs w:val="14"/>
        <w:lang w:val="ro-RO"/>
      </w:rPr>
      <w:t>;</w:t>
    </w:r>
    <w:r w:rsidR="00582814" w:rsidRPr="00302690">
      <w:rPr>
        <w:color w:val="FF0000"/>
        <w:sz w:val="14"/>
        <w:szCs w:val="14"/>
        <w:lang w:val="ro-RO"/>
      </w:rPr>
      <w:t xml:space="preserve"> </w:t>
    </w:r>
  </w:p>
  <w:p w:rsidR="00582814" w:rsidRPr="00302690" w:rsidRDefault="00582814" w:rsidP="00345644">
    <w:pPr>
      <w:pStyle w:val="Footer"/>
      <w:spacing w:after="0" w:line="240" w:lineRule="auto"/>
      <w:ind w:left="1440"/>
      <w:rPr>
        <w:color w:val="FF0000"/>
        <w:sz w:val="14"/>
        <w:szCs w:val="14"/>
        <w:lang w:val="ro-RO"/>
      </w:rPr>
    </w:pPr>
    <w:r w:rsidRPr="00302690">
      <w:rPr>
        <w:color w:val="FF0000"/>
        <w:sz w:val="14"/>
        <w:szCs w:val="14"/>
        <w:lang w:val="ro-RO"/>
      </w:rPr>
      <w:t>www.anofm.ro</w:t>
    </w:r>
    <w:r>
      <w:rPr>
        <w:color w:val="FF0000"/>
        <w:sz w:val="14"/>
        <w:szCs w:val="14"/>
        <w:lang w:val="ro-RO"/>
      </w:rPr>
      <w:t>-&gt;[Arges]</w:t>
    </w:r>
    <w:r w:rsidRPr="00302690">
      <w:rPr>
        <w:color w:val="FF0000"/>
        <w:sz w:val="14"/>
        <w:szCs w:val="14"/>
        <w:lang w:val="ro-RO"/>
      </w:rPr>
      <w:t>; www.facebook.com/</w:t>
    </w:r>
    <w:r>
      <w:rPr>
        <w:color w:val="FF0000"/>
        <w:sz w:val="14"/>
        <w:szCs w:val="14"/>
        <w:lang w:val="ro-RO"/>
      </w:rPr>
      <w:t>ajofmarges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814" w:rsidRDefault="00582814" w:rsidP="00F44190">
    <w:pPr>
      <w:pStyle w:val="Footer"/>
      <w:rPr>
        <w:sz w:val="14"/>
        <w:szCs w:val="14"/>
      </w:rPr>
    </w:pPr>
  </w:p>
  <w:p w:rsidR="00582814" w:rsidRPr="00302690" w:rsidRDefault="00582814" w:rsidP="00F44190">
    <w:pPr>
      <w:pStyle w:val="Footer"/>
      <w:spacing w:after="0" w:line="240" w:lineRule="auto"/>
      <w:ind w:left="1440"/>
      <w:rPr>
        <w:color w:val="FF0000"/>
        <w:sz w:val="14"/>
        <w:szCs w:val="14"/>
        <w:lang w:val="ro-RO"/>
      </w:rPr>
    </w:pPr>
    <w:r w:rsidRPr="00302690">
      <w:rPr>
        <w:color w:val="FF0000"/>
        <w:sz w:val="14"/>
        <w:szCs w:val="14"/>
        <w:lang w:val="ro-RO"/>
      </w:rPr>
      <w:t xml:space="preserve">AGENŢIA </w:t>
    </w:r>
    <w:r>
      <w:rPr>
        <w:color w:val="FF0000"/>
        <w:sz w:val="14"/>
        <w:szCs w:val="14"/>
        <w:lang w:val="ro-RO"/>
      </w:rPr>
      <w:t>JUDETEANA</w:t>
    </w:r>
    <w:r w:rsidRPr="00302690">
      <w:rPr>
        <w:color w:val="FF0000"/>
        <w:sz w:val="14"/>
        <w:szCs w:val="14"/>
        <w:lang w:val="ro-RO"/>
      </w:rPr>
      <w:t xml:space="preserve"> PENTRU OCUPAREA FORŢEI DE MUNCĂ</w:t>
    </w:r>
    <w:r>
      <w:rPr>
        <w:color w:val="FF0000"/>
        <w:sz w:val="14"/>
        <w:szCs w:val="14"/>
        <w:lang w:val="ro-RO"/>
      </w:rPr>
      <w:t xml:space="preserve"> ARGES</w:t>
    </w:r>
    <w:r w:rsidRPr="00302690">
      <w:rPr>
        <w:color w:val="FF0000"/>
        <w:sz w:val="14"/>
        <w:szCs w:val="14"/>
        <w:lang w:val="ro-RO"/>
      </w:rPr>
      <w:tab/>
    </w:r>
    <w:r w:rsidRPr="00302690">
      <w:rPr>
        <w:color w:val="FF0000"/>
        <w:sz w:val="14"/>
        <w:szCs w:val="14"/>
        <w:lang w:val="ro-RO"/>
      </w:rPr>
      <w:tab/>
      <w:t xml:space="preserve">pagina </w:t>
    </w:r>
    <w:r w:rsidRPr="00302690">
      <w:rPr>
        <w:color w:val="FF0000"/>
        <w:sz w:val="14"/>
        <w:szCs w:val="14"/>
        <w:lang w:val="ro-RO"/>
      </w:rPr>
      <w:fldChar w:fldCharType="begin"/>
    </w:r>
    <w:r w:rsidRPr="00302690">
      <w:rPr>
        <w:color w:val="FF0000"/>
        <w:sz w:val="14"/>
        <w:szCs w:val="14"/>
        <w:lang w:val="ro-RO"/>
      </w:rPr>
      <w:instrText>PAGE   \* MERGEFORMAT</w:instrText>
    </w:r>
    <w:r w:rsidRPr="00302690">
      <w:rPr>
        <w:color w:val="FF0000"/>
        <w:sz w:val="14"/>
        <w:szCs w:val="14"/>
        <w:lang w:val="ro-RO"/>
      </w:rPr>
      <w:fldChar w:fldCharType="separate"/>
    </w:r>
    <w:r w:rsidR="00374649">
      <w:rPr>
        <w:noProof/>
        <w:color w:val="FF0000"/>
        <w:sz w:val="14"/>
        <w:szCs w:val="14"/>
        <w:lang w:val="ro-RO"/>
      </w:rPr>
      <w:t>1</w:t>
    </w:r>
    <w:r w:rsidRPr="00302690">
      <w:rPr>
        <w:color w:val="FF0000"/>
        <w:sz w:val="14"/>
        <w:szCs w:val="14"/>
        <w:lang w:val="ro-RO"/>
      </w:rPr>
      <w:fldChar w:fldCharType="end"/>
    </w:r>
    <w:r w:rsidRPr="00302690">
      <w:rPr>
        <w:color w:val="FF0000"/>
        <w:sz w:val="14"/>
        <w:szCs w:val="14"/>
        <w:lang w:val="ro-RO"/>
      </w:rPr>
      <w:t xml:space="preserve"> din </w:t>
    </w:r>
    <w:r w:rsidRPr="00302690">
      <w:rPr>
        <w:color w:val="FF0000"/>
        <w:sz w:val="14"/>
        <w:szCs w:val="14"/>
        <w:lang w:val="ro-RO"/>
      </w:rPr>
      <w:fldChar w:fldCharType="begin"/>
    </w:r>
    <w:r w:rsidRPr="00302690">
      <w:rPr>
        <w:color w:val="FF0000"/>
        <w:sz w:val="14"/>
        <w:szCs w:val="14"/>
        <w:lang w:val="ro-RO"/>
      </w:rPr>
      <w:instrText xml:space="preserve"> NUMPAGES   \* MERGEFORMAT </w:instrText>
    </w:r>
    <w:r w:rsidRPr="00302690">
      <w:rPr>
        <w:color w:val="FF0000"/>
        <w:sz w:val="14"/>
        <w:szCs w:val="14"/>
        <w:lang w:val="ro-RO"/>
      </w:rPr>
      <w:fldChar w:fldCharType="separate"/>
    </w:r>
    <w:r w:rsidR="00374649">
      <w:rPr>
        <w:noProof/>
        <w:color w:val="FF0000"/>
        <w:sz w:val="14"/>
        <w:szCs w:val="14"/>
        <w:lang w:val="ro-RO"/>
      </w:rPr>
      <w:t>11</w:t>
    </w:r>
    <w:r w:rsidRPr="00302690">
      <w:rPr>
        <w:color w:val="FF0000"/>
        <w:sz w:val="14"/>
        <w:szCs w:val="14"/>
        <w:lang w:val="ro-RO"/>
      </w:rPr>
      <w:fldChar w:fldCharType="end"/>
    </w:r>
  </w:p>
  <w:p w:rsidR="00582814" w:rsidRPr="00302690" w:rsidRDefault="00582814" w:rsidP="00F44190">
    <w:pPr>
      <w:pStyle w:val="Footer"/>
      <w:spacing w:after="0" w:line="240" w:lineRule="auto"/>
      <w:ind w:left="1440"/>
      <w:rPr>
        <w:color w:val="FF0000"/>
        <w:sz w:val="14"/>
        <w:szCs w:val="14"/>
        <w:lang w:val="ro-RO"/>
      </w:rPr>
    </w:pPr>
    <w:r w:rsidRPr="00302690">
      <w:rPr>
        <w:color w:val="FF0000"/>
        <w:sz w:val="14"/>
        <w:szCs w:val="14"/>
        <w:lang w:val="ro-RO"/>
      </w:rPr>
      <w:t xml:space="preserve">Operator de date cu caracter personal nr. </w:t>
    </w:r>
    <w:r>
      <w:rPr>
        <w:color w:val="FF0000"/>
        <w:sz w:val="14"/>
        <w:szCs w:val="14"/>
        <w:lang w:val="ro-RO"/>
      </w:rPr>
      <w:t>555</w:t>
    </w:r>
  </w:p>
  <w:p w:rsidR="00582814" w:rsidRPr="00302690" w:rsidRDefault="00582814" w:rsidP="00F44190">
    <w:pPr>
      <w:pStyle w:val="Footer"/>
      <w:spacing w:after="0" w:line="240" w:lineRule="auto"/>
      <w:ind w:left="1440"/>
      <w:rPr>
        <w:color w:val="FF0000"/>
        <w:sz w:val="14"/>
        <w:szCs w:val="14"/>
        <w:lang w:val="ro-RO"/>
      </w:rPr>
    </w:pPr>
    <w:r>
      <w:rPr>
        <w:color w:val="FF0000"/>
        <w:sz w:val="14"/>
        <w:szCs w:val="14"/>
        <w:lang w:val="ro-RO"/>
      </w:rPr>
      <w:t>Bdul Republicii nr. 11, Pitesti</w:t>
    </w:r>
  </w:p>
  <w:p w:rsidR="00582814" w:rsidRPr="00302690" w:rsidRDefault="00582814" w:rsidP="00F44190">
    <w:pPr>
      <w:pStyle w:val="Footer"/>
      <w:spacing w:after="0" w:line="240" w:lineRule="auto"/>
      <w:ind w:left="1440"/>
      <w:rPr>
        <w:color w:val="FF0000"/>
        <w:sz w:val="14"/>
        <w:szCs w:val="14"/>
        <w:lang w:val="ro-RO"/>
      </w:rPr>
    </w:pPr>
    <w:r w:rsidRPr="00302690">
      <w:rPr>
        <w:color w:val="FF0000"/>
        <w:sz w:val="14"/>
        <w:szCs w:val="14"/>
        <w:lang w:val="ro-RO"/>
      </w:rPr>
      <w:t xml:space="preserve">Tel.: +4 </w:t>
    </w:r>
    <w:r>
      <w:rPr>
        <w:color w:val="FF0000"/>
        <w:sz w:val="14"/>
        <w:szCs w:val="14"/>
        <w:lang w:val="ro-RO"/>
      </w:rPr>
      <w:t>0248222415</w:t>
    </w:r>
    <w:r w:rsidRPr="00302690">
      <w:rPr>
        <w:color w:val="FF0000"/>
        <w:sz w:val="14"/>
        <w:szCs w:val="14"/>
        <w:lang w:val="ro-RO"/>
      </w:rPr>
      <w:t xml:space="preserve">; Fax: +4 </w:t>
    </w:r>
    <w:r>
      <w:rPr>
        <w:color w:val="FF0000"/>
        <w:sz w:val="14"/>
        <w:szCs w:val="14"/>
        <w:lang w:val="ro-RO"/>
      </w:rPr>
      <w:t>0248222582</w:t>
    </w:r>
  </w:p>
  <w:p w:rsidR="00582814" w:rsidRPr="00302690" w:rsidRDefault="00582814" w:rsidP="00F44190">
    <w:pPr>
      <w:pStyle w:val="Footer"/>
      <w:spacing w:after="0" w:line="240" w:lineRule="auto"/>
      <w:ind w:left="1440"/>
      <w:rPr>
        <w:color w:val="FF0000"/>
        <w:sz w:val="14"/>
        <w:szCs w:val="14"/>
        <w:lang w:val="ro-RO"/>
      </w:rPr>
    </w:pPr>
    <w:r w:rsidRPr="00302690">
      <w:rPr>
        <w:color w:val="FF0000"/>
        <w:sz w:val="14"/>
        <w:szCs w:val="14"/>
        <w:lang w:val="ro-RO"/>
      </w:rPr>
      <w:t xml:space="preserve">e-mail: </w:t>
    </w:r>
    <w:r w:rsidRPr="00345644">
      <w:rPr>
        <w:color w:val="FF0000"/>
        <w:sz w:val="14"/>
        <w:szCs w:val="14"/>
        <w:lang w:val="ro-RO"/>
      </w:rPr>
      <w:t>ajofm</w:t>
    </w:r>
    <w:r w:rsidR="00AC2277">
      <w:rPr>
        <w:color w:val="FF0000"/>
        <w:sz w:val="14"/>
        <w:szCs w:val="14"/>
        <w:lang w:val="ro-RO"/>
      </w:rPr>
      <w:t>.ag@</w:t>
    </w:r>
    <w:r w:rsidRPr="00345644">
      <w:rPr>
        <w:color w:val="FF0000"/>
        <w:sz w:val="14"/>
        <w:szCs w:val="14"/>
        <w:lang w:val="ro-RO"/>
      </w:rPr>
      <w:t>anofm</w:t>
    </w:r>
    <w:r w:rsidR="00AC2277">
      <w:rPr>
        <w:color w:val="FF0000"/>
        <w:sz w:val="14"/>
        <w:szCs w:val="14"/>
        <w:lang w:val="ro-RO"/>
      </w:rPr>
      <w:t>.gov</w:t>
    </w:r>
    <w:r w:rsidRPr="00345644">
      <w:rPr>
        <w:color w:val="FF0000"/>
        <w:sz w:val="14"/>
        <w:szCs w:val="14"/>
        <w:lang w:val="ro-RO"/>
      </w:rPr>
      <w:t>.ro</w:t>
    </w:r>
    <w:r w:rsidRPr="00302690">
      <w:rPr>
        <w:color w:val="FF0000"/>
        <w:sz w:val="14"/>
        <w:szCs w:val="14"/>
        <w:lang w:val="ro-RO"/>
      </w:rPr>
      <w:t xml:space="preserve">; </w:t>
    </w:r>
  </w:p>
  <w:p w:rsidR="00582814" w:rsidRPr="00302690" w:rsidRDefault="00582814" w:rsidP="00F44190">
    <w:pPr>
      <w:pStyle w:val="Footer"/>
      <w:spacing w:after="0" w:line="240" w:lineRule="auto"/>
      <w:ind w:left="1440"/>
      <w:rPr>
        <w:color w:val="FF0000"/>
        <w:sz w:val="14"/>
        <w:szCs w:val="14"/>
        <w:lang w:val="ro-RO"/>
      </w:rPr>
    </w:pPr>
    <w:r w:rsidRPr="00302690">
      <w:rPr>
        <w:color w:val="FF0000"/>
        <w:sz w:val="14"/>
        <w:szCs w:val="14"/>
        <w:lang w:val="ro-RO"/>
      </w:rPr>
      <w:t>www.anofm.ro</w:t>
    </w:r>
    <w:r>
      <w:rPr>
        <w:color w:val="FF0000"/>
        <w:sz w:val="14"/>
        <w:szCs w:val="14"/>
        <w:lang w:val="ro-RO"/>
      </w:rPr>
      <w:t>-&gt;[Arges]</w:t>
    </w:r>
    <w:r w:rsidRPr="00302690">
      <w:rPr>
        <w:color w:val="FF0000"/>
        <w:sz w:val="14"/>
        <w:szCs w:val="14"/>
        <w:lang w:val="ro-RO"/>
      </w:rPr>
      <w:t>; www.facebook.com/</w:t>
    </w:r>
    <w:r>
      <w:rPr>
        <w:color w:val="FF0000"/>
        <w:sz w:val="14"/>
        <w:szCs w:val="14"/>
        <w:lang w:val="ro-RO"/>
      </w:rPr>
      <w:t>ajofmarges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470" w:rsidRDefault="004A5470" w:rsidP="00CD5B3B">
      <w:r>
        <w:separator/>
      </w:r>
    </w:p>
  </w:footnote>
  <w:footnote w:type="continuationSeparator" w:id="0">
    <w:p w:rsidR="004A5470" w:rsidRDefault="004A5470"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582814" w:rsidTr="00DC08D4">
      <w:tc>
        <w:tcPr>
          <w:tcW w:w="5103" w:type="dxa"/>
          <w:shd w:val="clear" w:color="auto" w:fill="auto"/>
        </w:tcPr>
        <w:p w:rsidR="00582814" w:rsidRPr="00CD5B3B" w:rsidRDefault="00582814" w:rsidP="00F44190">
          <w:pPr>
            <w:pStyle w:val="MediumGrid21"/>
            <w:ind w:left="1440"/>
          </w:pPr>
        </w:p>
      </w:tc>
    </w:tr>
  </w:tbl>
  <w:p w:rsidR="00582814" w:rsidRPr="00CD5B3B" w:rsidRDefault="00BE1CC5" w:rsidP="00011077">
    <w:pPr>
      <w:pStyle w:val="Header"/>
      <w:ind w:left="0"/>
    </w:pPr>
    <w:r>
      <w:rPr>
        <w:noProof/>
      </w:rPr>
      <w:drawing>
        <wp:inline distT="0" distB="0" distL="0" distR="0" wp14:anchorId="4F9B0F0D" wp14:editId="0A9D3F0A">
          <wp:extent cx="3009265" cy="903605"/>
          <wp:effectExtent l="0" t="0" r="635" b="0"/>
          <wp:docPr id="5" name="Picture 5" descr="D:\Cristi S\Lucru\CSCA\Logo MMPS\logo-MMSS-2021 cu coroana CMYK ro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risti S\Lucru\CSCA\Logo MMPS\logo-MMSS-2021 cu coroana CMYK ro 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265" cy="90360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82" w:type="dxa"/>
      <w:tblInd w:w="-142" w:type="dxa"/>
      <w:tblLayout w:type="fixed"/>
      <w:tblCellMar>
        <w:left w:w="0" w:type="dxa"/>
        <w:right w:w="0" w:type="dxa"/>
      </w:tblCellMar>
      <w:tblLook w:val="04A0" w:firstRow="1" w:lastRow="0" w:firstColumn="1" w:lastColumn="0" w:noHBand="0" w:noVBand="1"/>
    </w:tblPr>
    <w:tblGrid>
      <w:gridCol w:w="4822"/>
      <w:gridCol w:w="3060"/>
      <w:gridCol w:w="2700"/>
    </w:tblGrid>
    <w:tr w:rsidR="00582814" w:rsidTr="00623C12">
      <w:tc>
        <w:tcPr>
          <w:tcW w:w="4822" w:type="dxa"/>
          <w:shd w:val="clear" w:color="auto" w:fill="auto"/>
        </w:tcPr>
        <w:p w:rsidR="00582814" w:rsidRPr="002D0CDC" w:rsidRDefault="00BE1CC5" w:rsidP="00E75DB3">
          <w:pPr>
            <w:pStyle w:val="MediumGrid21"/>
            <w:rPr>
              <w:lang w:val="ro-RO"/>
            </w:rPr>
          </w:pPr>
          <w:r>
            <w:rPr>
              <w:noProof/>
            </w:rPr>
            <w:drawing>
              <wp:inline distT="0" distB="0" distL="0" distR="0" wp14:anchorId="0863B31E">
                <wp:extent cx="301180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1805" cy="902335"/>
                        </a:xfrm>
                        <a:prstGeom prst="rect">
                          <a:avLst/>
                        </a:prstGeom>
                        <a:noFill/>
                      </pic:spPr>
                    </pic:pic>
                  </a:graphicData>
                </a:graphic>
              </wp:inline>
            </w:drawing>
          </w:r>
        </w:p>
      </w:tc>
      <w:tc>
        <w:tcPr>
          <w:tcW w:w="3060" w:type="dxa"/>
          <w:vAlign w:val="center"/>
        </w:tcPr>
        <w:p w:rsidR="00582814" w:rsidRDefault="00582814" w:rsidP="00E75DB3">
          <w:pPr>
            <w:pStyle w:val="MediumGrid21"/>
            <w:jc w:val="center"/>
            <w:rPr>
              <w:noProof/>
              <w:lang w:val="ro-RO" w:eastAsia="ro-RO"/>
            </w:rPr>
          </w:pPr>
        </w:p>
      </w:tc>
      <w:tc>
        <w:tcPr>
          <w:tcW w:w="2700" w:type="dxa"/>
          <w:shd w:val="clear" w:color="auto" w:fill="auto"/>
          <w:vAlign w:val="center"/>
        </w:tcPr>
        <w:p w:rsidR="00582814" w:rsidRPr="002D0CDC" w:rsidRDefault="00582814" w:rsidP="00E75DB3">
          <w:pPr>
            <w:pStyle w:val="MediumGrid21"/>
            <w:jc w:val="right"/>
            <w:rPr>
              <w:lang w:val="ro-RO"/>
            </w:rPr>
          </w:pPr>
          <w:r>
            <w:rPr>
              <w:noProof/>
            </w:rPr>
            <w:drawing>
              <wp:inline distT="0" distB="0" distL="0" distR="0" wp14:anchorId="7C5484D8" wp14:editId="51794A5A">
                <wp:extent cx="1191647" cy="570428"/>
                <wp:effectExtent l="0" t="0" r="8890" b="1270"/>
                <wp:docPr id="3"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4335" cy="576502"/>
                        </a:xfrm>
                        <a:prstGeom prst="rect">
                          <a:avLst/>
                        </a:prstGeom>
                        <a:noFill/>
                      </pic:spPr>
                    </pic:pic>
                  </a:graphicData>
                </a:graphic>
              </wp:inline>
            </w:drawing>
          </w:r>
        </w:p>
      </w:tc>
    </w:tr>
  </w:tbl>
  <w:p w:rsidR="00582814" w:rsidRDefault="00582814"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40586"/>
    <w:multiLevelType w:val="hybridMultilevel"/>
    <w:tmpl w:val="420E9AA2"/>
    <w:lvl w:ilvl="0" w:tplc="0418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C3B2F22"/>
    <w:multiLevelType w:val="hybridMultilevel"/>
    <w:tmpl w:val="645456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FB1545"/>
    <w:multiLevelType w:val="hybridMultilevel"/>
    <w:tmpl w:val="AFF49EFA"/>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
    <w:nsid w:val="631905A8"/>
    <w:multiLevelType w:val="hybridMultilevel"/>
    <w:tmpl w:val="54CCA952"/>
    <w:lvl w:ilvl="0" w:tplc="A598324E">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E1F"/>
    <w:rsid w:val="00000A1C"/>
    <w:rsid w:val="0001072D"/>
    <w:rsid w:val="00011077"/>
    <w:rsid w:val="000128C7"/>
    <w:rsid w:val="000270BE"/>
    <w:rsid w:val="00032874"/>
    <w:rsid w:val="00035902"/>
    <w:rsid w:val="00035F49"/>
    <w:rsid w:val="000373AF"/>
    <w:rsid w:val="00042E51"/>
    <w:rsid w:val="000465E1"/>
    <w:rsid w:val="00061CAD"/>
    <w:rsid w:val="0007334F"/>
    <w:rsid w:val="0007474B"/>
    <w:rsid w:val="00081663"/>
    <w:rsid w:val="0008260E"/>
    <w:rsid w:val="000832EB"/>
    <w:rsid w:val="000A5D78"/>
    <w:rsid w:val="000C181C"/>
    <w:rsid w:val="000D362D"/>
    <w:rsid w:val="000E54D6"/>
    <w:rsid w:val="000E6233"/>
    <w:rsid w:val="000F6604"/>
    <w:rsid w:val="000F688A"/>
    <w:rsid w:val="00100F36"/>
    <w:rsid w:val="00111787"/>
    <w:rsid w:val="00117926"/>
    <w:rsid w:val="00117E1C"/>
    <w:rsid w:val="00125B1D"/>
    <w:rsid w:val="00137ED1"/>
    <w:rsid w:val="00142FCF"/>
    <w:rsid w:val="001478A6"/>
    <w:rsid w:val="00151B4D"/>
    <w:rsid w:val="00160672"/>
    <w:rsid w:val="00167BD6"/>
    <w:rsid w:val="00171AC3"/>
    <w:rsid w:val="00171F86"/>
    <w:rsid w:val="00174292"/>
    <w:rsid w:val="0018061D"/>
    <w:rsid w:val="00186975"/>
    <w:rsid w:val="001869F3"/>
    <w:rsid w:val="001A4FF7"/>
    <w:rsid w:val="001B27DB"/>
    <w:rsid w:val="001C4D54"/>
    <w:rsid w:val="001D07E4"/>
    <w:rsid w:val="001D448C"/>
    <w:rsid w:val="001E38DF"/>
    <w:rsid w:val="001E7455"/>
    <w:rsid w:val="001F0458"/>
    <w:rsid w:val="00205E70"/>
    <w:rsid w:val="00206CEA"/>
    <w:rsid w:val="00213334"/>
    <w:rsid w:val="00213E75"/>
    <w:rsid w:val="0021532B"/>
    <w:rsid w:val="00216BB8"/>
    <w:rsid w:val="00220D78"/>
    <w:rsid w:val="00232277"/>
    <w:rsid w:val="002349E4"/>
    <w:rsid w:val="00242556"/>
    <w:rsid w:val="00254E1F"/>
    <w:rsid w:val="002612E6"/>
    <w:rsid w:val="00263666"/>
    <w:rsid w:val="00263BCF"/>
    <w:rsid w:val="00265FD0"/>
    <w:rsid w:val="002673A1"/>
    <w:rsid w:val="0029610E"/>
    <w:rsid w:val="002973E0"/>
    <w:rsid w:val="002A4E89"/>
    <w:rsid w:val="002A5742"/>
    <w:rsid w:val="002B7A4F"/>
    <w:rsid w:val="002C5608"/>
    <w:rsid w:val="002C59E9"/>
    <w:rsid w:val="002E22A9"/>
    <w:rsid w:val="002E4F03"/>
    <w:rsid w:val="002E55E6"/>
    <w:rsid w:val="002F2C39"/>
    <w:rsid w:val="002F3C67"/>
    <w:rsid w:val="002F7514"/>
    <w:rsid w:val="00302690"/>
    <w:rsid w:val="00305247"/>
    <w:rsid w:val="0030593B"/>
    <w:rsid w:val="003070E3"/>
    <w:rsid w:val="003134B0"/>
    <w:rsid w:val="00323AB2"/>
    <w:rsid w:val="003276B2"/>
    <w:rsid w:val="00330174"/>
    <w:rsid w:val="00340697"/>
    <w:rsid w:val="0034286D"/>
    <w:rsid w:val="00345644"/>
    <w:rsid w:val="00362A5F"/>
    <w:rsid w:val="00364B14"/>
    <w:rsid w:val="00374649"/>
    <w:rsid w:val="00390AEC"/>
    <w:rsid w:val="00393468"/>
    <w:rsid w:val="00395093"/>
    <w:rsid w:val="003A701A"/>
    <w:rsid w:val="003C0CEE"/>
    <w:rsid w:val="003C18DF"/>
    <w:rsid w:val="003C5D11"/>
    <w:rsid w:val="003D5A68"/>
    <w:rsid w:val="003E5155"/>
    <w:rsid w:val="003F0631"/>
    <w:rsid w:val="003F33C5"/>
    <w:rsid w:val="003F7AAC"/>
    <w:rsid w:val="004012C9"/>
    <w:rsid w:val="00402A61"/>
    <w:rsid w:val="00404FAC"/>
    <w:rsid w:val="004075AF"/>
    <w:rsid w:val="00411AD2"/>
    <w:rsid w:val="00415D13"/>
    <w:rsid w:val="004161B0"/>
    <w:rsid w:val="004262B1"/>
    <w:rsid w:val="00427180"/>
    <w:rsid w:val="00427C17"/>
    <w:rsid w:val="00440C02"/>
    <w:rsid w:val="00441E15"/>
    <w:rsid w:val="00442796"/>
    <w:rsid w:val="00443AE8"/>
    <w:rsid w:val="00445CBA"/>
    <w:rsid w:val="004470E1"/>
    <w:rsid w:val="004510F7"/>
    <w:rsid w:val="00451AD0"/>
    <w:rsid w:val="00451EF3"/>
    <w:rsid w:val="00465D7D"/>
    <w:rsid w:val="00466FD3"/>
    <w:rsid w:val="004714D6"/>
    <w:rsid w:val="00493AD5"/>
    <w:rsid w:val="004A1133"/>
    <w:rsid w:val="004A51F6"/>
    <w:rsid w:val="004A5470"/>
    <w:rsid w:val="004A6223"/>
    <w:rsid w:val="004B4D88"/>
    <w:rsid w:val="004C63DC"/>
    <w:rsid w:val="004D32C1"/>
    <w:rsid w:val="004D5F89"/>
    <w:rsid w:val="004E0D50"/>
    <w:rsid w:val="004E19FD"/>
    <w:rsid w:val="004E3CBB"/>
    <w:rsid w:val="004F10B8"/>
    <w:rsid w:val="00504A07"/>
    <w:rsid w:val="0050611E"/>
    <w:rsid w:val="00510186"/>
    <w:rsid w:val="00511D6E"/>
    <w:rsid w:val="0051391D"/>
    <w:rsid w:val="0051592E"/>
    <w:rsid w:val="005260B3"/>
    <w:rsid w:val="00530737"/>
    <w:rsid w:val="00544099"/>
    <w:rsid w:val="005727E1"/>
    <w:rsid w:val="0057501B"/>
    <w:rsid w:val="00581033"/>
    <w:rsid w:val="00582814"/>
    <w:rsid w:val="00582CEB"/>
    <w:rsid w:val="005A0010"/>
    <w:rsid w:val="005A05FA"/>
    <w:rsid w:val="005A1DB2"/>
    <w:rsid w:val="005A36DF"/>
    <w:rsid w:val="005B0684"/>
    <w:rsid w:val="005B2ABF"/>
    <w:rsid w:val="005C0668"/>
    <w:rsid w:val="005D2C35"/>
    <w:rsid w:val="005D37EF"/>
    <w:rsid w:val="005D5DFD"/>
    <w:rsid w:val="005E42CF"/>
    <w:rsid w:val="005E6FFA"/>
    <w:rsid w:val="00620097"/>
    <w:rsid w:val="00623C12"/>
    <w:rsid w:val="006322FD"/>
    <w:rsid w:val="00633E01"/>
    <w:rsid w:val="00637D9B"/>
    <w:rsid w:val="006579C6"/>
    <w:rsid w:val="006631F1"/>
    <w:rsid w:val="00671E90"/>
    <w:rsid w:val="00672D83"/>
    <w:rsid w:val="00681A8A"/>
    <w:rsid w:val="00682839"/>
    <w:rsid w:val="00684F1B"/>
    <w:rsid w:val="006A263E"/>
    <w:rsid w:val="006B417E"/>
    <w:rsid w:val="006B528B"/>
    <w:rsid w:val="006C31A1"/>
    <w:rsid w:val="006D01D3"/>
    <w:rsid w:val="006D0827"/>
    <w:rsid w:val="006E1F27"/>
    <w:rsid w:val="006E248E"/>
    <w:rsid w:val="006F0C78"/>
    <w:rsid w:val="007005AB"/>
    <w:rsid w:val="00700BF3"/>
    <w:rsid w:val="00702392"/>
    <w:rsid w:val="007050A2"/>
    <w:rsid w:val="00722488"/>
    <w:rsid w:val="00722BEC"/>
    <w:rsid w:val="00723D83"/>
    <w:rsid w:val="00730640"/>
    <w:rsid w:val="007322B0"/>
    <w:rsid w:val="00735F07"/>
    <w:rsid w:val="0073648D"/>
    <w:rsid w:val="00766E0E"/>
    <w:rsid w:val="0076785D"/>
    <w:rsid w:val="00767B58"/>
    <w:rsid w:val="0077225E"/>
    <w:rsid w:val="00782076"/>
    <w:rsid w:val="00784C84"/>
    <w:rsid w:val="00786C67"/>
    <w:rsid w:val="00787C73"/>
    <w:rsid w:val="00787C9A"/>
    <w:rsid w:val="007914E2"/>
    <w:rsid w:val="00796A97"/>
    <w:rsid w:val="007A25AB"/>
    <w:rsid w:val="007B005F"/>
    <w:rsid w:val="007B212D"/>
    <w:rsid w:val="007B31C4"/>
    <w:rsid w:val="007C1EDA"/>
    <w:rsid w:val="007C72C4"/>
    <w:rsid w:val="007E4E59"/>
    <w:rsid w:val="007F1644"/>
    <w:rsid w:val="007F4455"/>
    <w:rsid w:val="00822A44"/>
    <w:rsid w:val="008376C8"/>
    <w:rsid w:val="00846443"/>
    <w:rsid w:val="00847D55"/>
    <w:rsid w:val="00867358"/>
    <w:rsid w:val="00872110"/>
    <w:rsid w:val="008734AD"/>
    <w:rsid w:val="00877BBA"/>
    <w:rsid w:val="00881A51"/>
    <w:rsid w:val="00883FC4"/>
    <w:rsid w:val="00886631"/>
    <w:rsid w:val="00887484"/>
    <w:rsid w:val="00896CE2"/>
    <w:rsid w:val="008A0FDC"/>
    <w:rsid w:val="008A2AC0"/>
    <w:rsid w:val="008A590F"/>
    <w:rsid w:val="008B4065"/>
    <w:rsid w:val="008B6415"/>
    <w:rsid w:val="008C4503"/>
    <w:rsid w:val="008E3375"/>
    <w:rsid w:val="008E5BAE"/>
    <w:rsid w:val="008F4048"/>
    <w:rsid w:val="008F4603"/>
    <w:rsid w:val="009000C4"/>
    <w:rsid w:val="00904EDE"/>
    <w:rsid w:val="00915096"/>
    <w:rsid w:val="00926426"/>
    <w:rsid w:val="00930565"/>
    <w:rsid w:val="00930FA0"/>
    <w:rsid w:val="009312CC"/>
    <w:rsid w:val="00932D24"/>
    <w:rsid w:val="00944611"/>
    <w:rsid w:val="009510C0"/>
    <w:rsid w:val="00956B5D"/>
    <w:rsid w:val="00971849"/>
    <w:rsid w:val="00973E5A"/>
    <w:rsid w:val="0098321D"/>
    <w:rsid w:val="00986357"/>
    <w:rsid w:val="009901A1"/>
    <w:rsid w:val="009919FD"/>
    <w:rsid w:val="009A383C"/>
    <w:rsid w:val="009A4875"/>
    <w:rsid w:val="009C5D06"/>
    <w:rsid w:val="009D4EA5"/>
    <w:rsid w:val="009F5097"/>
    <w:rsid w:val="009F7E6C"/>
    <w:rsid w:val="00A04C63"/>
    <w:rsid w:val="00A07FA4"/>
    <w:rsid w:val="00A11E0F"/>
    <w:rsid w:val="00A1301F"/>
    <w:rsid w:val="00A15A38"/>
    <w:rsid w:val="00A21957"/>
    <w:rsid w:val="00A25E59"/>
    <w:rsid w:val="00A271CD"/>
    <w:rsid w:val="00A367FF"/>
    <w:rsid w:val="00A50FC8"/>
    <w:rsid w:val="00A52996"/>
    <w:rsid w:val="00A568EB"/>
    <w:rsid w:val="00A6548F"/>
    <w:rsid w:val="00A7552E"/>
    <w:rsid w:val="00A80125"/>
    <w:rsid w:val="00A80308"/>
    <w:rsid w:val="00A83553"/>
    <w:rsid w:val="00A855FF"/>
    <w:rsid w:val="00A90BA4"/>
    <w:rsid w:val="00AA1D16"/>
    <w:rsid w:val="00AA2E80"/>
    <w:rsid w:val="00AA478F"/>
    <w:rsid w:val="00AB44A1"/>
    <w:rsid w:val="00AC2277"/>
    <w:rsid w:val="00AC5F09"/>
    <w:rsid w:val="00AD4041"/>
    <w:rsid w:val="00AD5C16"/>
    <w:rsid w:val="00AD6ACF"/>
    <w:rsid w:val="00AE2177"/>
    <w:rsid w:val="00AE26B4"/>
    <w:rsid w:val="00AE4E16"/>
    <w:rsid w:val="00B04622"/>
    <w:rsid w:val="00B124EE"/>
    <w:rsid w:val="00B1258E"/>
    <w:rsid w:val="00B13BB4"/>
    <w:rsid w:val="00B16850"/>
    <w:rsid w:val="00B324A4"/>
    <w:rsid w:val="00B4093B"/>
    <w:rsid w:val="00B44471"/>
    <w:rsid w:val="00B521F2"/>
    <w:rsid w:val="00B6080C"/>
    <w:rsid w:val="00B7246D"/>
    <w:rsid w:val="00B82D40"/>
    <w:rsid w:val="00B8302B"/>
    <w:rsid w:val="00B84E92"/>
    <w:rsid w:val="00B91F65"/>
    <w:rsid w:val="00BA184B"/>
    <w:rsid w:val="00BB2807"/>
    <w:rsid w:val="00BC2025"/>
    <w:rsid w:val="00BC4EBF"/>
    <w:rsid w:val="00BD08C1"/>
    <w:rsid w:val="00BD406B"/>
    <w:rsid w:val="00BD6BA3"/>
    <w:rsid w:val="00BD70CF"/>
    <w:rsid w:val="00BE1CC5"/>
    <w:rsid w:val="00BE283F"/>
    <w:rsid w:val="00BE7398"/>
    <w:rsid w:val="00BE73B1"/>
    <w:rsid w:val="00BE7B02"/>
    <w:rsid w:val="00C02DE8"/>
    <w:rsid w:val="00C05F49"/>
    <w:rsid w:val="00C11849"/>
    <w:rsid w:val="00C13BE4"/>
    <w:rsid w:val="00C147AD"/>
    <w:rsid w:val="00C16C64"/>
    <w:rsid w:val="00C20EF1"/>
    <w:rsid w:val="00C225FD"/>
    <w:rsid w:val="00C3483B"/>
    <w:rsid w:val="00C4254A"/>
    <w:rsid w:val="00C539DE"/>
    <w:rsid w:val="00C56257"/>
    <w:rsid w:val="00C6554C"/>
    <w:rsid w:val="00C7255C"/>
    <w:rsid w:val="00C73386"/>
    <w:rsid w:val="00C92DE1"/>
    <w:rsid w:val="00C94CC6"/>
    <w:rsid w:val="00CA2E12"/>
    <w:rsid w:val="00CB567C"/>
    <w:rsid w:val="00CB79B7"/>
    <w:rsid w:val="00CC0953"/>
    <w:rsid w:val="00CD0AF2"/>
    <w:rsid w:val="00CD0C6C"/>
    <w:rsid w:val="00CD0F06"/>
    <w:rsid w:val="00CD256B"/>
    <w:rsid w:val="00CD4F94"/>
    <w:rsid w:val="00CD5B3B"/>
    <w:rsid w:val="00CE5831"/>
    <w:rsid w:val="00D05E66"/>
    <w:rsid w:val="00D06E9C"/>
    <w:rsid w:val="00D11BF1"/>
    <w:rsid w:val="00D1328B"/>
    <w:rsid w:val="00D20C32"/>
    <w:rsid w:val="00D22B19"/>
    <w:rsid w:val="00D2404F"/>
    <w:rsid w:val="00D26A8B"/>
    <w:rsid w:val="00D3124F"/>
    <w:rsid w:val="00D32960"/>
    <w:rsid w:val="00D44463"/>
    <w:rsid w:val="00D62431"/>
    <w:rsid w:val="00D72CD4"/>
    <w:rsid w:val="00D83949"/>
    <w:rsid w:val="00D86F1D"/>
    <w:rsid w:val="00D96A31"/>
    <w:rsid w:val="00DA2381"/>
    <w:rsid w:val="00DB46E5"/>
    <w:rsid w:val="00DC08D4"/>
    <w:rsid w:val="00DE3C31"/>
    <w:rsid w:val="00DF42F3"/>
    <w:rsid w:val="00DF7237"/>
    <w:rsid w:val="00E11F3F"/>
    <w:rsid w:val="00E16AFC"/>
    <w:rsid w:val="00E227C5"/>
    <w:rsid w:val="00E30BCD"/>
    <w:rsid w:val="00E31613"/>
    <w:rsid w:val="00E42F45"/>
    <w:rsid w:val="00E53964"/>
    <w:rsid w:val="00E54713"/>
    <w:rsid w:val="00E562FC"/>
    <w:rsid w:val="00E63F46"/>
    <w:rsid w:val="00E66338"/>
    <w:rsid w:val="00E67B70"/>
    <w:rsid w:val="00E728C3"/>
    <w:rsid w:val="00E75DB3"/>
    <w:rsid w:val="00E775CE"/>
    <w:rsid w:val="00E80E1A"/>
    <w:rsid w:val="00E84896"/>
    <w:rsid w:val="00E90838"/>
    <w:rsid w:val="00EA0F6C"/>
    <w:rsid w:val="00EA21E9"/>
    <w:rsid w:val="00EA282B"/>
    <w:rsid w:val="00EA4B72"/>
    <w:rsid w:val="00EA52D3"/>
    <w:rsid w:val="00EA5E59"/>
    <w:rsid w:val="00EA61D6"/>
    <w:rsid w:val="00EB030C"/>
    <w:rsid w:val="00EB07F0"/>
    <w:rsid w:val="00EB529B"/>
    <w:rsid w:val="00EB5EC6"/>
    <w:rsid w:val="00EB74BA"/>
    <w:rsid w:val="00EC67A8"/>
    <w:rsid w:val="00EC7B6D"/>
    <w:rsid w:val="00EE1146"/>
    <w:rsid w:val="00EE380E"/>
    <w:rsid w:val="00F066A3"/>
    <w:rsid w:val="00F20BC4"/>
    <w:rsid w:val="00F20FDD"/>
    <w:rsid w:val="00F214F5"/>
    <w:rsid w:val="00F23F04"/>
    <w:rsid w:val="00F25F58"/>
    <w:rsid w:val="00F30C27"/>
    <w:rsid w:val="00F37D58"/>
    <w:rsid w:val="00F44190"/>
    <w:rsid w:val="00F566CB"/>
    <w:rsid w:val="00F571E5"/>
    <w:rsid w:val="00F5753C"/>
    <w:rsid w:val="00F659E6"/>
    <w:rsid w:val="00F67D20"/>
    <w:rsid w:val="00F76427"/>
    <w:rsid w:val="00F77807"/>
    <w:rsid w:val="00F837BE"/>
    <w:rsid w:val="00F8556A"/>
    <w:rsid w:val="00FA1B49"/>
    <w:rsid w:val="00FB595A"/>
    <w:rsid w:val="00FB5B18"/>
    <w:rsid w:val="00FB6D27"/>
    <w:rsid w:val="00FC2E87"/>
    <w:rsid w:val="00FC4284"/>
    <w:rsid w:val="00FC7A98"/>
    <w:rsid w:val="00FE0A73"/>
    <w:rsid w:val="00FE2F2C"/>
    <w:rsid w:val="00FE4B13"/>
    <w:rsid w:val="00FF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customStyle="1" w:styleId="panchor">
    <w:name w:val="panchor"/>
    <w:basedOn w:val="DefaultParagraphFont"/>
    <w:rsid w:val="00F76427"/>
  </w:style>
  <w:style w:type="table" w:customStyle="1" w:styleId="TableGrid1">
    <w:name w:val="Table Grid1"/>
    <w:basedOn w:val="TableNormal"/>
    <w:next w:val="TableGrid"/>
    <w:uiPriority w:val="59"/>
    <w:rsid w:val="001806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E38DF"/>
    <w:pPr>
      <w:spacing w:line="480" w:lineRule="auto"/>
      <w:ind w:left="0"/>
      <w:jc w:val="left"/>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uiPriority w:val="99"/>
    <w:rsid w:val="001E38DF"/>
    <w:rPr>
      <w:rFonts w:ascii="Times New Roman" w:eastAsia="Times New Roman" w:hAnsi="Times New Roman"/>
      <w:sz w:val="24"/>
      <w:szCs w:val="24"/>
      <w:lang w:val="ro-RO" w:eastAsia="ro-RO"/>
    </w:rPr>
  </w:style>
  <w:style w:type="paragraph" w:styleId="NoSpacing">
    <w:name w:val="No Spacing"/>
    <w:uiPriority w:val="1"/>
    <w:qFormat/>
    <w:rsid w:val="001E38DF"/>
    <w:rPr>
      <w:rFonts w:ascii="Calibri" w:eastAsia="Calibri" w:hAnsi="Calibri"/>
      <w:sz w:val="22"/>
      <w:szCs w:val="22"/>
    </w:rPr>
  </w:style>
  <w:style w:type="character" w:customStyle="1" w:styleId="panchorclicked">
    <w:name w:val="panchorclicked"/>
    <w:basedOn w:val="DefaultParagraphFont"/>
    <w:rsid w:val="00265FD0"/>
  </w:style>
  <w:style w:type="character" w:styleId="HTMLCite">
    <w:name w:val="HTML Cite"/>
    <w:uiPriority w:val="99"/>
    <w:semiHidden/>
    <w:unhideWhenUsed/>
    <w:rsid w:val="00633E01"/>
    <w:rPr>
      <w:i/>
      <w:iCs/>
    </w:rPr>
  </w:style>
  <w:style w:type="paragraph" w:styleId="ListParagraph">
    <w:name w:val="List Paragraph"/>
    <w:basedOn w:val="Normal"/>
    <w:uiPriority w:val="72"/>
    <w:qFormat/>
    <w:rsid w:val="00837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character" w:customStyle="1" w:styleId="panchor">
    <w:name w:val="panchor"/>
    <w:basedOn w:val="DefaultParagraphFont"/>
    <w:rsid w:val="00F76427"/>
  </w:style>
  <w:style w:type="table" w:customStyle="1" w:styleId="TableGrid1">
    <w:name w:val="Table Grid1"/>
    <w:basedOn w:val="TableNormal"/>
    <w:next w:val="TableGrid"/>
    <w:uiPriority w:val="59"/>
    <w:rsid w:val="0018061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1E38DF"/>
    <w:pPr>
      <w:spacing w:line="480" w:lineRule="auto"/>
      <w:ind w:left="0"/>
      <w:jc w:val="left"/>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uiPriority w:val="99"/>
    <w:rsid w:val="001E38DF"/>
    <w:rPr>
      <w:rFonts w:ascii="Times New Roman" w:eastAsia="Times New Roman" w:hAnsi="Times New Roman"/>
      <w:sz w:val="24"/>
      <w:szCs w:val="24"/>
      <w:lang w:val="ro-RO" w:eastAsia="ro-RO"/>
    </w:rPr>
  </w:style>
  <w:style w:type="paragraph" w:styleId="NoSpacing">
    <w:name w:val="No Spacing"/>
    <w:uiPriority w:val="1"/>
    <w:qFormat/>
    <w:rsid w:val="001E38DF"/>
    <w:rPr>
      <w:rFonts w:ascii="Calibri" w:eastAsia="Calibri" w:hAnsi="Calibri"/>
      <w:sz w:val="22"/>
      <w:szCs w:val="22"/>
    </w:rPr>
  </w:style>
  <w:style w:type="character" w:customStyle="1" w:styleId="panchorclicked">
    <w:name w:val="panchorclicked"/>
    <w:basedOn w:val="DefaultParagraphFont"/>
    <w:rsid w:val="00265FD0"/>
  </w:style>
  <w:style w:type="character" w:styleId="HTMLCite">
    <w:name w:val="HTML Cite"/>
    <w:uiPriority w:val="99"/>
    <w:semiHidden/>
    <w:unhideWhenUsed/>
    <w:rsid w:val="00633E01"/>
    <w:rPr>
      <w:i/>
      <w:iCs/>
    </w:rPr>
  </w:style>
  <w:style w:type="paragraph" w:styleId="ListParagraph">
    <w:name w:val="List Paragraph"/>
    <w:basedOn w:val="Normal"/>
    <w:uiPriority w:val="72"/>
    <w:qFormat/>
    <w:rsid w:val="00837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844">
      <w:bodyDiv w:val="1"/>
      <w:marLeft w:val="0"/>
      <w:marRight w:val="0"/>
      <w:marTop w:val="0"/>
      <w:marBottom w:val="0"/>
      <w:divBdr>
        <w:top w:val="none" w:sz="0" w:space="0" w:color="auto"/>
        <w:left w:val="none" w:sz="0" w:space="0" w:color="auto"/>
        <w:bottom w:val="none" w:sz="0" w:space="0" w:color="auto"/>
        <w:right w:val="none" w:sz="0" w:space="0" w:color="auto"/>
      </w:divBdr>
    </w:div>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319890359">
      <w:bodyDiv w:val="1"/>
      <w:marLeft w:val="0"/>
      <w:marRight w:val="0"/>
      <w:marTop w:val="0"/>
      <w:marBottom w:val="0"/>
      <w:divBdr>
        <w:top w:val="none" w:sz="0" w:space="0" w:color="auto"/>
        <w:left w:val="none" w:sz="0" w:space="0" w:color="auto"/>
        <w:bottom w:val="none" w:sz="0" w:space="0" w:color="auto"/>
        <w:right w:val="none" w:sz="0" w:space="0" w:color="auto"/>
      </w:divBdr>
    </w:div>
    <w:div w:id="1409494862">
      <w:bodyDiv w:val="1"/>
      <w:marLeft w:val="0"/>
      <w:marRight w:val="0"/>
      <w:marTop w:val="0"/>
      <w:marBottom w:val="0"/>
      <w:divBdr>
        <w:top w:val="none" w:sz="0" w:space="0" w:color="auto"/>
        <w:left w:val="none" w:sz="0" w:space="0" w:color="auto"/>
        <w:bottom w:val="none" w:sz="0" w:space="0" w:color="auto"/>
        <w:right w:val="none" w:sz="0" w:space="0" w:color="auto"/>
      </w:divBdr>
    </w:div>
    <w:div w:id="1548640480">
      <w:bodyDiv w:val="1"/>
      <w:marLeft w:val="0"/>
      <w:marRight w:val="0"/>
      <w:marTop w:val="0"/>
      <w:marBottom w:val="0"/>
      <w:divBdr>
        <w:top w:val="none" w:sz="0" w:space="0" w:color="auto"/>
        <w:left w:val="none" w:sz="0" w:space="0" w:color="auto"/>
        <w:bottom w:val="none" w:sz="0" w:space="0" w:color="auto"/>
        <w:right w:val="none" w:sz="0" w:space="0" w:color="auto"/>
      </w:divBdr>
    </w:div>
    <w:div w:id="1820876153">
      <w:bodyDiv w:val="1"/>
      <w:marLeft w:val="0"/>
      <w:marRight w:val="0"/>
      <w:marTop w:val="0"/>
      <w:marBottom w:val="0"/>
      <w:divBdr>
        <w:top w:val="none" w:sz="0" w:space="0" w:color="auto"/>
        <w:left w:val="none" w:sz="0" w:space="0" w:color="auto"/>
        <w:bottom w:val="none" w:sz="0" w:space="0" w:color="auto"/>
        <w:right w:val="none" w:sz="0" w:space="0" w:color="auto"/>
      </w:divBdr>
    </w:div>
    <w:div w:id="1950745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HAEL~1.RIS\AppData\Local\Temp\notes1E184A\ANOFM-model%20documente%20noiembrie%202019.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80"/>
      <c:rotY val="0"/>
      <c:rAngAx val="0"/>
      <c:perspective val="0"/>
    </c:view3D>
    <c:floor>
      <c:thickness val="0"/>
    </c:floor>
    <c:sideWall>
      <c:thickness val="0"/>
    </c:sideWall>
    <c:backWall>
      <c:thickness val="0"/>
    </c:backWall>
    <c:plotArea>
      <c:layout>
        <c:manualLayout>
          <c:layoutTarget val="inner"/>
          <c:xMode val="edge"/>
          <c:yMode val="edge"/>
          <c:x val="0.1906005221932115"/>
          <c:y val="0.22709163346613545"/>
          <c:w val="0.35770234986945171"/>
          <c:h val="0.55378486055776888"/>
        </c:manualLayout>
      </c:layout>
      <c:pie3DChart>
        <c:varyColors val="1"/>
        <c:ser>
          <c:idx val="0"/>
          <c:order val="0"/>
          <c:tx>
            <c:strRef>
              <c:f>Sheet1!$A$3</c:f>
              <c:strCache>
                <c:ptCount val="1"/>
                <c:pt idx="0">
                  <c:v>varsta somerilor înregistrați</c:v>
                </c:pt>
              </c:strCache>
            </c:strRef>
          </c:tx>
          <c:spPr>
            <a:solidFill>
              <a:srgbClr val="000080"/>
            </a:solidFill>
            <a:ln w="12700">
              <a:solidFill>
                <a:srgbClr val="000000"/>
              </a:solidFill>
              <a:prstDash val="solid"/>
            </a:ln>
          </c:spPr>
          <c:explosion val="25"/>
          <c:dPt>
            <c:idx val="0"/>
            <c:bubble3D val="0"/>
            <c:spPr>
              <a:solidFill>
                <a:srgbClr val="FFFF99"/>
              </a:solidFill>
              <a:ln w="12700">
                <a:solidFill>
                  <a:srgbClr val="000000"/>
                </a:solidFill>
                <a:prstDash val="solid"/>
              </a:ln>
            </c:spPr>
          </c:dPt>
          <c:dPt>
            <c:idx val="1"/>
            <c:bubble3D val="0"/>
            <c:spPr>
              <a:solidFill>
                <a:srgbClr val="CCFFFF"/>
              </a:solidFill>
              <a:ln w="12700">
                <a:solidFill>
                  <a:srgbClr val="000000"/>
                </a:solidFill>
                <a:prstDash val="solid"/>
              </a:ln>
            </c:spPr>
          </c:dPt>
          <c:dPt>
            <c:idx val="2"/>
            <c:bubble3D val="0"/>
            <c:spPr>
              <a:solidFill>
                <a:srgbClr val="FF0000"/>
              </a:solidFill>
              <a:ln w="12700">
                <a:solidFill>
                  <a:srgbClr val="000000"/>
                </a:solidFill>
                <a:prstDash val="solid"/>
              </a:ln>
            </c:spPr>
          </c:dPt>
          <c:dPt>
            <c:idx val="3"/>
            <c:bubble3D val="0"/>
            <c:spPr>
              <a:solidFill>
                <a:srgbClr val="3366FF"/>
              </a:solidFill>
              <a:ln w="12700">
                <a:solidFill>
                  <a:srgbClr val="000000"/>
                </a:solidFill>
                <a:prstDash val="solid"/>
              </a:ln>
            </c:spPr>
          </c:dPt>
          <c:dPt>
            <c:idx val="4"/>
            <c:bubble3D val="0"/>
            <c:spPr>
              <a:solidFill>
                <a:srgbClr val="339966"/>
              </a:solidFill>
              <a:ln w="12700">
                <a:solidFill>
                  <a:srgbClr val="000000"/>
                </a:solidFill>
                <a:prstDash val="solid"/>
              </a:ln>
            </c:spPr>
          </c:dPt>
          <c:dPt>
            <c:idx val="5"/>
            <c:bubble3D val="0"/>
            <c:spPr>
              <a:solidFill>
                <a:srgbClr val="CC99FF"/>
              </a:solidFill>
              <a:ln w="12700">
                <a:solidFill>
                  <a:srgbClr val="000000"/>
                </a:solidFill>
                <a:prstDash val="solid"/>
              </a:ln>
            </c:spPr>
          </c:dPt>
          <c:dLbls>
            <c:dLbl>
              <c:idx val="0"/>
              <c:layout>
                <c:manualLayout>
                  <c:x val="-2.9803757169242735E-2"/>
                  <c:y val="1.2397676231893607E-2"/>
                </c:manualLayout>
              </c:layout>
              <c:tx>
                <c:rich>
                  <a:bodyPr/>
                  <a:lstStyle/>
                  <a:p>
                    <a:r>
                      <a:rPr lang="en-US">
                        <a:solidFill>
                          <a:sysClr val="windowText" lastClr="000000"/>
                        </a:solidFill>
                      </a:rPr>
                      <a:t>1</a:t>
                    </a:r>
                    <a:r>
                      <a:rPr lang="ro-RO">
                        <a:solidFill>
                          <a:sysClr val="windowText" lastClr="000000"/>
                        </a:solidFill>
                      </a:rPr>
                      <a:t>2</a:t>
                    </a:r>
                    <a:r>
                      <a:rPr lang="en-US">
                        <a:solidFill>
                          <a:sysClr val="windowText" lastClr="000000"/>
                        </a:solidFill>
                      </a:rPr>
                      <a:t>,</a:t>
                    </a:r>
                    <a:r>
                      <a:rPr lang="ro-RO">
                        <a:solidFill>
                          <a:sysClr val="windowText" lastClr="000000"/>
                        </a:solidFill>
                      </a:rPr>
                      <a:t>68</a:t>
                    </a:r>
                    <a:r>
                      <a:rPr lang="en-US">
                        <a:solidFill>
                          <a:sysClr val="windowText" lastClr="000000"/>
                        </a:solidFill>
                      </a:rPr>
                      <a:t>%</a:t>
                    </a:r>
                    <a:endParaRPr lang="en-US"/>
                  </a:p>
                </c:rich>
              </c:tx>
              <c:showLegendKey val="0"/>
              <c:showVal val="0"/>
              <c:showCatName val="0"/>
              <c:showSerName val="0"/>
              <c:showPercent val="1"/>
              <c:showBubbleSize val="0"/>
            </c:dLbl>
            <c:dLbl>
              <c:idx val="1"/>
              <c:tx>
                <c:rich>
                  <a:bodyPr/>
                  <a:lstStyle/>
                  <a:p>
                    <a:r>
                      <a:rPr lang="en-US">
                        <a:solidFill>
                          <a:sysClr val="windowText" lastClr="000000"/>
                        </a:solidFill>
                      </a:rPr>
                      <a:t>6,</a:t>
                    </a:r>
                    <a:r>
                      <a:rPr lang="ro-RO">
                        <a:solidFill>
                          <a:sysClr val="windowText" lastClr="000000"/>
                        </a:solidFill>
                      </a:rPr>
                      <a:t>75</a:t>
                    </a:r>
                    <a:r>
                      <a:rPr lang="en-US">
                        <a:solidFill>
                          <a:sysClr val="windowText" lastClr="000000"/>
                        </a:solidFill>
                      </a:rPr>
                      <a:t>%</a:t>
                    </a:r>
                    <a:endParaRPr lang="en-US"/>
                  </a:p>
                </c:rich>
              </c:tx>
              <c:showLegendKey val="0"/>
              <c:showVal val="0"/>
              <c:showCatName val="0"/>
              <c:showSerName val="0"/>
              <c:showPercent val="1"/>
              <c:showBubbleSize val="0"/>
            </c:dLbl>
            <c:dLbl>
              <c:idx val="2"/>
              <c:layout>
                <c:manualLayout>
                  <c:x val="6.3763730922523571E-3"/>
                  <c:y val="-2.3845638542044169E-2"/>
                </c:manualLayout>
              </c:layout>
              <c:tx>
                <c:rich>
                  <a:bodyPr/>
                  <a:lstStyle/>
                  <a:p>
                    <a:r>
                      <a:rPr lang="en-US">
                        <a:solidFill>
                          <a:sysClr val="windowText" lastClr="000000"/>
                        </a:solidFill>
                      </a:rPr>
                      <a:t>17,</a:t>
                    </a:r>
                    <a:r>
                      <a:rPr lang="ro-RO">
                        <a:solidFill>
                          <a:sysClr val="windowText" lastClr="000000"/>
                        </a:solidFill>
                      </a:rPr>
                      <a:t>26</a:t>
                    </a:r>
                    <a:r>
                      <a:rPr lang="en-US">
                        <a:solidFill>
                          <a:sysClr val="windowText" lastClr="000000"/>
                        </a:solidFill>
                      </a:rPr>
                      <a:t>%</a:t>
                    </a:r>
                    <a:endParaRPr lang="en-US"/>
                  </a:p>
                </c:rich>
              </c:tx>
              <c:showLegendKey val="0"/>
              <c:showVal val="0"/>
              <c:showCatName val="0"/>
              <c:showSerName val="0"/>
              <c:showPercent val="1"/>
              <c:showBubbleSize val="0"/>
            </c:dLbl>
            <c:dLbl>
              <c:idx val="3"/>
              <c:layout>
                <c:manualLayout>
                  <c:x val="-3.5230266355594439E-2"/>
                  <c:y val="-3.513326524560999E-3"/>
                </c:manualLayout>
              </c:layout>
              <c:tx>
                <c:rich>
                  <a:bodyPr/>
                  <a:lstStyle/>
                  <a:p>
                    <a:r>
                      <a:rPr lang="en-US">
                        <a:solidFill>
                          <a:sysClr val="windowText" lastClr="000000"/>
                        </a:solidFill>
                      </a:rPr>
                      <a:t>2</a:t>
                    </a:r>
                    <a:r>
                      <a:rPr lang="ro-RO">
                        <a:solidFill>
                          <a:sysClr val="windowText" lastClr="000000"/>
                        </a:solidFill>
                      </a:rPr>
                      <a:t>5</a:t>
                    </a:r>
                    <a:r>
                      <a:rPr lang="en-US">
                        <a:solidFill>
                          <a:sysClr val="windowText" lastClr="000000"/>
                        </a:solidFill>
                      </a:rPr>
                      <a:t>,</a:t>
                    </a:r>
                    <a:r>
                      <a:rPr lang="ro-RO">
                        <a:solidFill>
                          <a:sysClr val="windowText" lastClr="000000"/>
                        </a:solidFill>
                      </a:rPr>
                      <a:t>25</a:t>
                    </a:r>
                    <a:r>
                      <a:rPr lang="en-US">
                        <a:solidFill>
                          <a:sysClr val="windowText" lastClr="000000"/>
                        </a:solidFill>
                      </a:rPr>
                      <a:t>%</a:t>
                    </a:r>
                    <a:endParaRPr lang="en-US"/>
                  </a:p>
                </c:rich>
              </c:tx>
              <c:showLegendKey val="0"/>
              <c:showVal val="0"/>
              <c:showCatName val="0"/>
              <c:showSerName val="0"/>
              <c:showPercent val="1"/>
              <c:showBubbleSize val="0"/>
            </c:dLbl>
            <c:dLbl>
              <c:idx val="4"/>
              <c:layout>
                <c:manualLayout>
                  <c:x val="9.8044862447749584E-3"/>
                  <c:y val="1.5150177357537421E-2"/>
                </c:manualLayout>
              </c:layout>
              <c:tx>
                <c:rich>
                  <a:bodyPr/>
                  <a:lstStyle/>
                  <a:p>
                    <a:r>
                      <a:rPr lang="ro-RO">
                        <a:solidFill>
                          <a:sysClr val="windowText" lastClr="000000"/>
                        </a:solidFill>
                      </a:rPr>
                      <a:t>20,48</a:t>
                    </a:r>
                    <a:r>
                      <a:rPr lang="en-US">
                        <a:solidFill>
                          <a:sysClr val="windowText" lastClr="000000"/>
                        </a:solidFill>
                      </a:rPr>
                      <a:t>%</a:t>
                    </a:r>
                    <a:endParaRPr lang="en-US"/>
                  </a:p>
                </c:rich>
              </c:tx>
              <c:showLegendKey val="0"/>
              <c:showVal val="0"/>
              <c:showCatName val="0"/>
              <c:showSerName val="0"/>
              <c:showPercent val="1"/>
              <c:showBubbleSize val="0"/>
            </c:dLbl>
            <c:dLbl>
              <c:idx val="5"/>
              <c:tx>
                <c:rich>
                  <a:bodyPr/>
                  <a:lstStyle/>
                  <a:p>
                    <a:r>
                      <a:rPr lang="en-US">
                        <a:solidFill>
                          <a:sysClr val="windowText" lastClr="000000"/>
                        </a:solidFill>
                      </a:rPr>
                      <a:t>1</a:t>
                    </a:r>
                    <a:r>
                      <a:rPr lang="ro-RO">
                        <a:solidFill>
                          <a:sysClr val="windowText" lastClr="000000"/>
                        </a:solidFill>
                      </a:rPr>
                      <a:t>7,58</a:t>
                    </a:r>
                    <a:r>
                      <a:rPr lang="en-US">
                        <a:solidFill>
                          <a:sysClr val="windowText" lastClr="000000"/>
                        </a:solidFill>
                      </a:rPr>
                      <a:t>%</a:t>
                    </a:r>
                    <a:endParaRPr lang="en-US"/>
                  </a:p>
                </c:rich>
              </c:tx>
              <c:showLegendKey val="0"/>
              <c:showVal val="0"/>
              <c:showCatName val="0"/>
              <c:showSerName val="0"/>
              <c:showPercent val="1"/>
              <c:showBubbleSize val="0"/>
            </c:dLbl>
            <c:numFmt formatCode="0%" sourceLinked="0"/>
            <c:spPr>
              <a:noFill/>
              <a:ln w="25400">
                <a:noFill/>
              </a:ln>
            </c:spPr>
            <c:txPr>
              <a:bodyPr/>
              <a:lstStyle/>
              <a:p>
                <a:pPr>
                  <a:defRPr sz="1100" b="1" i="0" u="none" strike="noStrike" baseline="0">
                    <a:solidFill>
                      <a:sysClr val="windowText" lastClr="000000"/>
                    </a:solidFill>
                    <a:latin typeface="Calibri"/>
                    <a:ea typeface="Calibri"/>
                    <a:cs typeface="Calibri"/>
                  </a:defRPr>
                </a:pPr>
                <a:endParaRPr lang="en-US"/>
              </a:p>
            </c:txPr>
            <c:showLegendKey val="0"/>
            <c:showVal val="0"/>
            <c:showCatName val="0"/>
            <c:showSerName val="0"/>
            <c:showPercent val="1"/>
            <c:showBubbleSize val="0"/>
            <c:showLeaderLines val="0"/>
          </c:dLbls>
          <c:cat>
            <c:strRef>
              <c:f>Sheet1!$B$2:$G$2</c:f>
              <c:strCache>
                <c:ptCount val="6"/>
                <c:pt idx="0">
                  <c:v>&lt;25 ani</c:v>
                </c:pt>
                <c:pt idx="1">
                  <c:v>25-29 ani</c:v>
                </c:pt>
                <c:pt idx="2">
                  <c:v>30-39 ani</c:v>
                </c:pt>
                <c:pt idx="3">
                  <c:v>40-49 ani</c:v>
                </c:pt>
                <c:pt idx="4">
                  <c:v>50-55 ani</c:v>
                </c:pt>
                <c:pt idx="5">
                  <c:v>peste 55 ani</c:v>
                </c:pt>
              </c:strCache>
            </c:strRef>
          </c:cat>
          <c:val>
            <c:numRef>
              <c:f>Sheet1!$B$3:$G$3</c:f>
              <c:numCache>
                <c:formatCode>General</c:formatCode>
                <c:ptCount val="6"/>
                <c:pt idx="0">
                  <c:v>12.68</c:v>
                </c:pt>
                <c:pt idx="1">
                  <c:v>6.75</c:v>
                </c:pt>
                <c:pt idx="2">
                  <c:v>17.260000000000002</c:v>
                </c:pt>
                <c:pt idx="3">
                  <c:v>25.25</c:v>
                </c:pt>
                <c:pt idx="4">
                  <c:v>20.48</c:v>
                </c:pt>
                <c:pt idx="5">
                  <c:v>17.579999999999998</c:v>
                </c:pt>
              </c:numCache>
            </c:numRef>
          </c:val>
        </c:ser>
        <c:dLbls>
          <c:showLegendKey val="0"/>
          <c:showVal val="0"/>
          <c:showCatName val="0"/>
          <c:showSerName val="0"/>
          <c:showPercent val="1"/>
          <c:showBubbleSize val="0"/>
          <c:showLeaderLines val="0"/>
        </c:dLbls>
      </c:pie3DChart>
      <c:spPr>
        <a:solidFill>
          <a:srgbClr val="FFFFFF"/>
        </a:solidFill>
        <a:ln w="12700">
          <a:solidFill>
            <a:srgbClr val="FFFFFF"/>
          </a:solidFill>
          <a:prstDash val="solid"/>
        </a:ln>
      </c:spPr>
    </c:plotArea>
    <c:legend>
      <c:legendPos val="r"/>
      <c:layout>
        <c:manualLayout>
          <c:xMode val="edge"/>
          <c:yMode val="edge"/>
          <c:x val="0.73629242819843344"/>
          <c:y val="0.22310756972111553"/>
          <c:w val="0.25326370757180156"/>
          <c:h val="0.55378486055776888"/>
        </c:manualLayout>
      </c:layout>
      <c:overlay val="0"/>
      <c:spPr>
        <a:noFill/>
        <a:ln w="3175">
          <a:solidFill>
            <a:srgbClr val="000000"/>
          </a:solidFill>
          <a:prstDash val="solid"/>
        </a:ln>
      </c:spPr>
      <c:txPr>
        <a:bodyPr/>
        <a:lstStyle/>
        <a:p>
          <a:pPr>
            <a:defRPr sz="1010" b="1" i="0" u="none" strike="noStrike" baseline="0">
              <a:solidFill>
                <a:srgbClr val="000000"/>
              </a:solidFill>
              <a:latin typeface="Calibri"/>
              <a:ea typeface="Calibri"/>
              <a:cs typeface="Calibri"/>
            </a:defRPr>
          </a:pPr>
          <a:endParaRPr lang="en-US"/>
        </a:p>
      </c:txPr>
    </c:legend>
    <c:plotVisOnly val="1"/>
    <c:dispBlanksAs val="zero"/>
    <c:showDLblsOverMax val="0"/>
  </c:chart>
  <c:spPr>
    <a:noFill/>
    <a:ln>
      <a:noFill/>
    </a:ln>
  </c:spPr>
  <c:txPr>
    <a:bodyPr/>
    <a:lstStyle/>
    <a:p>
      <a:pPr>
        <a:defRPr sz="11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B8DE3-B7EA-4245-918D-42F897BE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ANOFM-model documente noiembrie 2019.dotx</Template>
  <TotalTime>11</TotalTime>
  <Pages>11</Pages>
  <Words>2902</Words>
  <Characters>16548</Characters>
  <Application>Microsoft Office Word</Application>
  <DocSecurity>0</DocSecurity>
  <Lines>137</Lines>
  <Paragraphs>38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19412</CharactersWithSpaces>
  <SharedDoc>false</SharedDoc>
  <HLinks>
    <vt:vector size="6" baseType="variant">
      <vt:variant>
        <vt:i4>1048612</vt:i4>
      </vt:variant>
      <vt:variant>
        <vt:i4>3</vt:i4>
      </vt:variant>
      <vt:variant>
        <vt:i4>0</vt:i4>
      </vt:variant>
      <vt:variant>
        <vt:i4>5</vt:i4>
      </vt:variant>
      <vt:variant>
        <vt:lpwstr>mailto:anofm@anofm.ro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Ristea</dc:creator>
  <cp:lastModifiedBy>Mihaela Ristea</cp:lastModifiedBy>
  <cp:revision>10</cp:revision>
  <cp:lastPrinted>2023-02-24T09:06:00Z</cp:lastPrinted>
  <dcterms:created xsi:type="dcterms:W3CDTF">2023-02-24T08:00:00Z</dcterms:created>
  <dcterms:modified xsi:type="dcterms:W3CDTF">2023-02-24T09:08:00Z</dcterms:modified>
</cp:coreProperties>
</file>