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A61" w:rsidRDefault="00A43A61" w:rsidP="009449A7">
      <w:pPr>
        <w:jc w:val="both"/>
      </w:pPr>
    </w:p>
    <w:p w:rsidR="009449A7" w:rsidRDefault="009449A7" w:rsidP="009449A7">
      <w:pPr>
        <w:jc w:val="both"/>
      </w:pPr>
    </w:p>
    <w:p w:rsidR="005423F9" w:rsidRDefault="005423F9" w:rsidP="009449A7">
      <w:pPr>
        <w:jc w:val="both"/>
        <w:rPr>
          <w:b/>
          <w:sz w:val="28"/>
          <w:szCs w:val="28"/>
        </w:rPr>
      </w:pPr>
    </w:p>
    <w:p w:rsidR="005423F9" w:rsidRDefault="00AB2930" w:rsidP="009449A7">
      <w:pPr>
        <w:jc w:val="both"/>
        <w:rPr>
          <w:b/>
          <w:sz w:val="28"/>
          <w:szCs w:val="28"/>
        </w:rPr>
      </w:pPr>
      <w:r>
        <w:rPr>
          <w:noProof/>
        </w:rPr>
        <w:drawing>
          <wp:inline distT="0" distB="0" distL="0" distR="0">
            <wp:extent cx="5667375" cy="1343025"/>
            <wp:effectExtent l="0" t="0" r="9525" b="9525"/>
            <wp:docPr id="1" name="Picture 1" descr="DJS-ARGE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S-ARGE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1343025"/>
                    </a:xfrm>
                    <a:prstGeom prst="rect">
                      <a:avLst/>
                    </a:prstGeom>
                    <a:noFill/>
                    <a:ln>
                      <a:noFill/>
                    </a:ln>
                  </pic:spPr>
                </pic:pic>
              </a:graphicData>
            </a:graphic>
          </wp:inline>
        </w:drawing>
      </w: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AA5CD1" w:rsidRDefault="00AA5CD1" w:rsidP="005423F9">
      <w:pPr>
        <w:jc w:val="center"/>
        <w:rPr>
          <w:b/>
          <w:sz w:val="56"/>
          <w:szCs w:val="56"/>
        </w:rPr>
      </w:pPr>
      <w:bookmarkStart w:id="0" w:name="_GoBack"/>
      <w:bookmarkEnd w:id="0"/>
    </w:p>
    <w:p w:rsidR="00AB2930" w:rsidRDefault="00AB2930" w:rsidP="005423F9">
      <w:pPr>
        <w:jc w:val="center"/>
        <w:rPr>
          <w:b/>
          <w:sz w:val="56"/>
          <w:szCs w:val="56"/>
        </w:rPr>
      </w:pPr>
    </w:p>
    <w:p w:rsidR="00AB2930" w:rsidRDefault="00AB2930" w:rsidP="005423F9">
      <w:pPr>
        <w:jc w:val="center"/>
        <w:rPr>
          <w:b/>
          <w:sz w:val="56"/>
          <w:szCs w:val="56"/>
        </w:rPr>
      </w:pPr>
    </w:p>
    <w:p w:rsidR="005423F9" w:rsidRPr="005563C5" w:rsidRDefault="005423F9" w:rsidP="005423F9">
      <w:pPr>
        <w:jc w:val="center"/>
        <w:rPr>
          <w:b/>
          <w:sz w:val="56"/>
          <w:szCs w:val="56"/>
        </w:rPr>
      </w:pPr>
      <w:r w:rsidRPr="005563C5">
        <w:rPr>
          <w:b/>
          <w:sz w:val="56"/>
          <w:szCs w:val="56"/>
        </w:rPr>
        <w:t>RAPORT DE ACTIVITATE</w:t>
      </w:r>
    </w:p>
    <w:p w:rsidR="005423F9" w:rsidRDefault="005423F9" w:rsidP="005423F9">
      <w:pPr>
        <w:jc w:val="center"/>
        <w:rPr>
          <w:b/>
          <w:sz w:val="56"/>
          <w:szCs w:val="56"/>
        </w:rPr>
      </w:pPr>
      <w:r w:rsidRPr="005563C5">
        <w:rPr>
          <w:b/>
          <w:sz w:val="56"/>
          <w:szCs w:val="56"/>
        </w:rPr>
        <w:t>AL</w:t>
      </w:r>
    </w:p>
    <w:p w:rsidR="00AB2930" w:rsidRPr="005563C5" w:rsidRDefault="00AB2930" w:rsidP="005423F9">
      <w:pPr>
        <w:jc w:val="center"/>
        <w:rPr>
          <w:b/>
          <w:sz w:val="56"/>
          <w:szCs w:val="56"/>
        </w:rPr>
      </w:pPr>
    </w:p>
    <w:p w:rsidR="005423F9" w:rsidRPr="00AB2930" w:rsidRDefault="005423F9" w:rsidP="005423F9">
      <w:pPr>
        <w:jc w:val="center"/>
        <w:rPr>
          <w:b/>
          <w:color w:val="0070C0"/>
          <w:sz w:val="56"/>
          <w:szCs w:val="56"/>
          <w:lang w:val="ro-RO"/>
        </w:rPr>
      </w:pPr>
      <w:r w:rsidRPr="00AB2930">
        <w:rPr>
          <w:b/>
          <w:color w:val="0070C0"/>
          <w:sz w:val="56"/>
          <w:szCs w:val="56"/>
        </w:rPr>
        <w:t>DIRE</w:t>
      </w:r>
      <w:r w:rsidRPr="00AB2930">
        <w:rPr>
          <w:b/>
          <w:color w:val="0070C0"/>
          <w:sz w:val="56"/>
          <w:szCs w:val="56"/>
          <w:lang w:val="ro-RO"/>
        </w:rPr>
        <w:t>CȚIEI JUDEȚENE DE STATISTICĂ ARGEȘ</w:t>
      </w: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EB6C5D" w:rsidRDefault="00EB6C5D" w:rsidP="009449A7">
      <w:pPr>
        <w:jc w:val="both"/>
        <w:rPr>
          <w:b/>
          <w:sz w:val="28"/>
          <w:szCs w:val="28"/>
        </w:rPr>
      </w:pPr>
    </w:p>
    <w:p w:rsidR="00EB6C5D" w:rsidRDefault="00EB6C5D"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6F2A34" w:rsidRPr="006E5160" w:rsidRDefault="00C358ED" w:rsidP="009449A7">
      <w:pPr>
        <w:jc w:val="both"/>
        <w:rPr>
          <w:b/>
          <w:i/>
          <w:sz w:val="32"/>
          <w:szCs w:val="32"/>
          <w:u w:val="single"/>
        </w:rPr>
      </w:pPr>
      <w:r w:rsidRPr="006E5160">
        <w:rPr>
          <w:b/>
          <w:i/>
          <w:sz w:val="32"/>
          <w:szCs w:val="32"/>
          <w:u w:val="single"/>
        </w:rPr>
        <w:t>Profil organizațional</w:t>
      </w:r>
    </w:p>
    <w:p w:rsidR="00C358ED" w:rsidRPr="005563C5" w:rsidRDefault="00C358ED" w:rsidP="009449A7">
      <w:pPr>
        <w:jc w:val="both"/>
        <w:rPr>
          <w:sz w:val="28"/>
          <w:szCs w:val="28"/>
        </w:rPr>
      </w:pPr>
    </w:p>
    <w:p w:rsidR="003C61CC" w:rsidRPr="005563C5" w:rsidRDefault="003C61CC" w:rsidP="001D2871">
      <w:pPr>
        <w:jc w:val="both"/>
        <w:rPr>
          <w:sz w:val="28"/>
          <w:szCs w:val="28"/>
        </w:rPr>
      </w:pPr>
    </w:p>
    <w:p w:rsidR="009449A7" w:rsidRPr="005563C5" w:rsidRDefault="00C85D26" w:rsidP="001D2871">
      <w:pPr>
        <w:ind w:firstLine="720"/>
        <w:jc w:val="both"/>
        <w:rPr>
          <w:sz w:val="28"/>
          <w:szCs w:val="28"/>
        </w:rPr>
      </w:pPr>
      <w:r w:rsidRPr="005563C5">
        <w:rPr>
          <w:sz w:val="28"/>
          <w:szCs w:val="28"/>
        </w:rPr>
        <w:t xml:space="preserve">Fundamentarea, monitorizarea și evaluarea programelor de dezvoltare economică și socială, a deciziilor guvernamentale și ale operatorilor economici, în contextul României de stat membru al Uniunii Europene, necesită date și informații statistice prompte și de calitate. Rapidele schimbări ale condițiilor mediului extern impun nevoia de informație statistică diversificată și cuprinzătoare, nevoie care se îndreaptă către producătorii de date statistice oficiale și, implicit, asupra potențialilor furnizori ai datelor primare. </w:t>
      </w:r>
    </w:p>
    <w:p w:rsidR="009449A7" w:rsidRPr="005563C5" w:rsidRDefault="00C85D26" w:rsidP="001D2871">
      <w:pPr>
        <w:ind w:firstLine="720"/>
        <w:jc w:val="both"/>
        <w:rPr>
          <w:sz w:val="28"/>
          <w:szCs w:val="28"/>
        </w:rPr>
      </w:pPr>
      <w:r w:rsidRPr="005563C5">
        <w:rPr>
          <w:sz w:val="28"/>
          <w:szCs w:val="28"/>
        </w:rPr>
        <w:t xml:space="preserve">Statistica oficială, potrivit principiilor fundamentale care o guvernează, constituie un element indispensabil al sistemului informațional al unei societăți democratice. </w:t>
      </w:r>
      <w:r w:rsidR="005563C5">
        <w:rPr>
          <w:sz w:val="28"/>
          <w:szCs w:val="28"/>
        </w:rPr>
        <w:t xml:space="preserve">                 </w:t>
      </w:r>
      <w:r w:rsidRPr="005563C5">
        <w:rPr>
          <w:sz w:val="28"/>
          <w:szCs w:val="28"/>
        </w:rPr>
        <w:t xml:space="preserve">Potrivit Regulamentului (UE) 2015/759 al Parlamentului European și al Consiliului </w:t>
      </w:r>
      <w:r w:rsidR="005563C5">
        <w:rPr>
          <w:sz w:val="28"/>
          <w:szCs w:val="28"/>
        </w:rPr>
        <w:t xml:space="preserve">                  </w:t>
      </w:r>
      <w:r w:rsidRPr="005563C5">
        <w:rPr>
          <w:sz w:val="28"/>
          <w:szCs w:val="28"/>
        </w:rPr>
        <w:t>din 29 aprilie 2015 de modificare a Regulamentului (CE) nr. 223/2009 privind statisticile europene, Comunitatea Europeană trebuie să aibă acces la informații statistice comparabile între statele membre, informații care trebuie să fie actuale, de încredere, pertinente și produse la timp și cât mai eficient posibil pentru a permite formularea, aplicarea, monitorizarea și evaluarea politicilor sale. Politicile europene și cele naționale se sprijină reciproc, iar evaluarea progreselor se bazează într-o proporție covârșitoare pe date statistice.</w:t>
      </w:r>
    </w:p>
    <w:p w:rsidR="006F2A34" w:rsidRPr="005563C5" w:rsidRDefault="00C85D26" w:rsidP="001D2871">
      <w:pPr>
        <w:ind w:firstLine="720"/>
        <w:jc w:val="both"/>
        <w:rPr>
          <w:sz w:val="28"/>
          <w:szCs w:val="28"/>
        </w:rPr>
      </w:pPr>
      <w:r w:rsidRPr="005563C5">
        <w:rPr>
          <w:sz w:val="28"/>
          <w:szCs w:val="28"/>
        </w:rPr>
        <w:t xml:space="preserve"> Misiunea generală a statisticii oficiale este aceea de a furniza date și informații statistice de calitate, ale cărei coordonate rezidă în: relevanță, corectitudine, punctualitate, accesibilitate și claritate, comparabilitate și coerență. Rolul său este și mai important în contextul globalizării și al politicilor europene de mare anvergură.</w:t>
      </w:r>
    </w:p>
    <w:p w:rsidR="00C85D26" w:rsidRPr="005563C5" w:rsidRDefault="00C85D26" w:rsidP="001D2871">
      <w:pPr>
        <w:ind w:firstLine="720"/>
        <w:jc w:val="both"/>
        <w:rPr>
          <w:sz w:val="28"/>
          <w:szCs w:val="28"/>
          <w:lang w:val="ro-RO"/>
        </w:rPr>
      </w:pPr>
      <w:r w:rsidRPr="005563C5">
        <w:rPr>
          <w:sz w:val="28"/>
          <w:szCs w:val="28"/>
        </w:rPr>
        <w:t xml:space="preserve">Pentru îndeplinirea obiectivului său strategic, </w:t>
      </w:r>
      <w:r w:rsidR="00D46D69" w:rsidRPr="005563C5">
        <w:rPr>
          <w:sz w:val="28"/>
          <w:szCs w:val="28"/>
        </w:rPr>
        <w:t>INS</w:t>
      </w:r>
      <w:r w:rsidRPr="005563C5">
        <w:rPr>
          <w:sz w:val="28"/>
          <w:szCs w:val="28"/>
        </w:rPr>
        <w:t>, asigură realizarea producției curente pe domenii statistice a căror continuitate în funcționare este esențială pentru alimentarea fondului național de date statistice.</w:t>
      </w:r>
      <w:r w:rsidR="009449A7" w:rsidRPr="005563C5">
        <w:rPr>
          <w:sz w:val="28"/>
          <w:szCs w:val="28"/>
        </w:rPr>
        <w:t xml:space="preserve"> </w:t>
      </w:r>
      <w:r w:rsidR="009449A7" w:rsidRPr="005563C5">
        <w:rPr>
          <w:sz w:val="28"/>
          <w:szCs w:val="28"/>
          <w:lang w:val="ro-RO"/>
        </w:rPr>
        <w:t>La nivelul județului Argeș această responsabilitate revine Direcției Județene de Statistică Argeș, instituție publică deconcentrată aflată în subordinea Institutului Național de Statistică.</w:t>
      </w:r>
      <w:r w:rsidR="00B33325" w:rsidRPr="005563C5">
        <w:rPr>
          <w:sz w:val="28"/>
          <w:szCs w:val="28"/>
          <w:lang w:val="ro-RO"/>
        </w:rPr>
        <w:t xml:space="preserve"> Cadrul legal de funcționare al Direcției Județene de Statistică Argeș este reprezentat de </w:t>
      </w:r>
      <w:r w:rsidR="004613D2" w:rsidRPr="005563C5">
        <w:rPr>
          <w:sz w:val="28"/>
          <w:szCs w:val="28"/>
          <w:lang w:val="fr-FR"/>
        </w:rPr>
        <w:t>Lege</w:t>
      </w:r>
      <w:r w:rsidR="00B33325" w:rsidRPr="005563C5">
        <w:rPr>
          <w:sz w:val="28"/>
          <w:szCs w:val="28"/>
          <w:lang w:val="fr-FR"/>
        </w:rPr>
        <w:t>a organizării și funcționării statisticii oficiale în România, nr. 226/2009, cu modificările și completările ulterioare și HG nr. 957/2005 privind organizarea și funcționarea INS, republicat, cu modificările și completările ulterioare.</w:t>
      </w:r>
    </w:p>
    <w:p w:rsidR="009449A7" w:rsidRPr="005563C5" w:rsidRDefault="00C85D26" w:rsidP="001D2871">
      <w:pPr>
        <w:ind w:firstLine="720"/>
        <w:jc w:val="both"/>
        <w:rPr>
          <w:sz w:val="28"/>
          <w:szCs w:val="28"/>
        </w:rPr>
      </w:pPr>
      <w:r w:rsidRPr="005563C5">
        <w:rPr>
          <w:sz w:val="28"/>
          <w:szCs w:val="28"/>
        </w:rPr>
        <w:t>Obiectivul general al</w:t>
      </w:r>
      <w:r w:rsidR="005563C5">
        <w:rPr>
          <w:sz w:val="28"/>
          <w:szCs w:val="28"/>
        </w:rPr>
        <w:t xml:space="preserve"> </w:t>
      </w:r>
      <w:r w:rsidR="00D46D69" w:rsidRPr="005563C5">
        <w:rPr>
          <w:sz w:val="28"/>
          <w:szCs w:val="28"/>
        </w:rPr>
        <w:t>INS</w:t>
      </w:r>
      <w:r w:rsidRPr="005563C5">
        <w:rPr>
          <w:sz w:val="28"/>
          <w:szCs w:val="28"/>
        </w:rPr>
        <w:t xml:space="preserve">, prin rolul său de coordonator al Sistemul Statistic Național, </w:t>
      </w:r>
      <w:r w:rsidR="00C358ED" w:rsidRPr="005563C5">
        <w:rPr>
          <w:sz w:val="28"/>
          <w:szCs w:val="28"/>
        </w:rPr>
        <w:t>a</w:t>
      </w:r>
      <w:r w:rsidR="009449A7" w:rsidRPr="005563C5">
        <w:rPr>
          <w:sz w:val="28"/>
          <w:szCs w:val="28"/>
        </w:rPr>
        <w:t>cela de a fi</w:t>
      </w:r>
      <w:r w:rsidR="00C358ED" w:rsidRPr="005563C5">
        <w:rPr>
          <w:sz w:val="28"/>
          <w:szCs w:val="28"/>
        </w:rPr>
        <w:t xml:space="preserve"> </w:t>
      </w:r>
      <w:r w:rsidR="009449A7" w:rsidRPr="005563C5">
        <w:rPr>
          <w:sz w:val="28"/>
          <w:szCs w:val="28"/>
        </w:rPr>
        <w:t>în continuare</w:t>
      </w:r>
      <w:r w:rsidRPr="005563C5">
        <w:rPr>
          <w:sz w:val="28"/>
          <w:szCs w:val="28"/>
        </w:rPr>
        <w:t xml:space="preserve"> cel mai important producător și furnizor de informații statistice de cea mai înaltă calitate, atât la nivel național cât și în ceea ce privește statisticile destinate statisticilor europene</w:t>
      </w:r>
      <w:r w:rsidR="009449A7" w:rsidRPr="005563C5">
        <w:rPr>
          <w:sz w:val="28"/>
          <w:szCs w:val="28"/>
        </w:rPr>
        <w:t>, este prevăzut în</w:t>
      </w:r>
      <w:r w:rsidR="005563C5">
        <w:rPr>
          <w:sz w:val="28"/>
          <w:szCs w:val="28"/>
        </w:rPr>
        <w:t xml:space="preserve"> </w:t>
      </w:r>
      <w:r w:rsidRPr="005563C5">
        <w:rPr>
          <w:sz w:val="28"/>
          <w:szCs w:val="28"/>
        </w:rPr>
        <w:t xml:space="preserve">Programul statistic național </w:t>
      </w:r>
      <w:r w:rsidR="009449A7" w:rsidRPr="005563C5">
        <w:rPr>
          <w:sz w:val="28"/>
          <w:szCs w:val="28"/>
        </w:rPr>
        <w:t>multianual, document ce se</w:t>
      </w:r>
      <w:r w:rsidRPr="005563C5">
        <w:rPr>
          <w:sz w:val="28"/>
          <w:szCs w:val="28"/>
        </w:rPr>
        <w:t xml:space="preserve"> elaborează pe o perioadă de maximum 4 ani, ținându-se seam</w:t>
      </w:r>
      <w:r w:rsidR="00695840">
        <w:rPr>
          <w:sz w:val="28"/>
          <w:szCs w:val="28"/>
        </w:rPr>
        <w:t>a de obiectivele Strategiei de D</w:t>
      </w:r>
      <w:r w:rsidRPr="005563C5">
        <w:rPr>
          <w:sz w:val="28"/>
          <w:szCs w:val="28"/>
        </w:rPr>
        <w:t>ezvoltare a Sistemului Statistic Național și a statisticii oficiale a României în perioada 2015-2020 și de stadiul îndeplinirii acesteia, de Programele de guvernare, de Programele naționale sectoriale precum și de prevederile Programului statistic european.</w:t>
      </w:r>
    </w:p>
    <w:p w:rsidR="00695840" w:rsidRDefault="00C85D26" w:rsidP="001D2871">
      <w:pPr>
        <w:ind w:firstLine="720"/>
        <w:jc w:val="both"/>
        <w:rPr>
          <w:sz w:val="28"/>
          <w:szCs w:val="28"/>
        </w:rPr>
      </w:pPr>
      <w:r w:rsidRPr="005563C5">
        <w:rPr>
          <w:sz w:val="28"/>
          <w:szCs w:val="28"/>
        </w:rPr>
        <w:lastRenderedPageBreak/>
        <w:t xml:space="preserve"> Detalierea și operaționalizarea </w:t>
      </w:r>
      <w:r w:rsidR="009449A7" w:rsidRPr="005563C5">
        <w:rPr>
          <w:sz w:val="28"/>
          <w:szCs w:val="28"/>
        </w:rPr>
        <w:t>actualului Programul</w:t>
      </w:r>
      <w:r w:rsidRPr="005563C5">
        <w:rPr>
          <w:sz w:val="28"/>
          <w:szCs w:val="28"/>
        </w:rPr>
        <w:t xml:space="preserve"> statistic național </w:t>
      </w:r>
      <w:r w:rsidR="009449A7" w:rsidRPr="005563C5">
        <w:rPr>
          <w:sz w:val="28"/>
          <w:szCs w:val="28"/>
        </w:rPr>
        <w:t>multianual,</w:t>
      </w:r>
      <w:r w:rsidRPr="005563C5">
        <w:rPr>
          <w:sz w:val="28"/>
          <w:szCs w:val="28"/>
        </w:rPr>
        <w:t xml:space="preserve"> </w:t>
      </w:r>
      <w:r w:rsidR="009449A7" w:rsidRPr="005563C5">
        <w:rPr>
          <w:sz w:val="28"/>
          <w:szCs w:val="28"/>
        </w:rPr>
        <w:t xml:space="preserve">cel pentru perioada </w:t>
      </w:r>
      <w:r w:rsidRPr="005563C5">
        <w:rPr>
          <w:sz w:val="28"/>
          <w:szCs w:val="28"/>
        </w:rPr>
        <w:t xml:space="preserve">2018-2020 se face prin programele statistice naționale anuale. Îndeplinirea Programului statistic național multianual 2018-2020 presupune </w:t>
      </w:r>
      <w:r w:rsidR="00695840">
        <w:rPr>
          <w:sz w:val="28"/>
          <w:szCs w:val="28"/>
        </w:rPr>
        <w:t xml:space="preserve">                       </w:t>
      </w:r>
      <w:r w:rsidRPr="005563C5">
        <w:rPr>
          <w:sz w:val="28"/>
          <w:szCs w:val="28"/>
        </w:rPr>
        <w:t xml:space="preserve">definirea și punerea în aplicare a unor direcții de acțiune pe ansamblu și domenii </w:t>
      </w:r>
      <w:r w:rsidR="00695840">
        <w:rPr>
          <w:sz w:val="28"/>
          <w:szCs w:val="28"/>
        </w:rPr>
        <w:t xml:space="preserve">                </w:t>
      </w:r>
      <w:r w:rsidRPr="005563C5">
        <w:rPr>
          <w:sz w:val="28"/>
          <w:szCs w:val="28"/>
        </w:rPr>
        <w:t>statistice, în conformitate cu prevederile Programului statistic european pentru</w:t>
      </w:r>
      <w:r w:rsidR="00695840">
        <w:rPr>
          <w:sz w:val="28"/>
          <w:szCs w:val="28"/>
        </w:rPr>
        <w:t xml:space="preserve">            </w:t>
      </w:r>
      <w:r w:rsidRPr="005563C5">
        <w:rPr>
          <w:sz w:val="28"/>
          <w:szCs w:val="28"/>
        </w:rPr>
        <w:t xml:space="preserve"> perioada 2013-2017, cu prelungirea acestuia pe</w:t>
      </w:r>
      <w:r w:rsidR="00D46D69" w:rsidRPr="005563C5">
        <w:rPr>
          <w:sz w:val="28"/>
          <w:szCs w:val="28"/>
        </w:rPr>
        <w:t>ntru</w:t>
      </w:r>
      <w:r w:rsidRPr="005563C5">
        <w:rPr>
          <w:sz w:val="28"/>
          <w:szCs w:val="28"/>
        </w:rPr>
        <w:t xml:space="preserve"> perioada 2018-2020. Obiectivele strategice ale perioadei 2018-2020 vizează îndeplinirea următoarelor obiective specifice:</w:t>
      </w:r>
    </w:p>
    <w:p w:rsidR="00695840" w:rsidRDefault="00C85D26" w:rsidP="00695840">
      <w:pPr>
        <w:pStyle w:val="ListParagraph"/>
        <w:numPr>
          <w:ilvl w:val="0"/>
          <w:numId w:val="19"/>
        </w:numPr>
        <w:ind w:left="0" w:firstLine="1080"/>
        <w:jc w:val="both"/>
        <w:rPr>
          <w:sz w:val="28"/>
          <w:szCs w:val="28"/>
        </w:rPr>
      </w:pPr>
      <w:r w:rsidRPr="00695840">
        <w:rPr>
          <w:sz w:val="28"/>
          <w:szCs w:val="28"/>
        </w:rPr>
        <w:t xml:space="preserve">consolidarea și actualizarea cadrului legal de funcționare a SSN în ansamblu și al INS în special; modernizarea și eficientizarea SSN, adaptarea mecanismelor și procedurilor realizate în plan național la cerințele curente și de perspectivă ale SSE; </w:t>
      </w:r>
    </w:p>
    <w:p w:rsidR="00695840" w:rsidRDefault="00C85D26" w:rsidP="00695840">
      <w:pPr>
        <w:pStyle w:val="ListParagraph"/>
        <w:numPr>
          <w:ilvl w:val="0"/>
          <w:numId w:val="19"/>
        </w:numPr>
        <w:ind w:left="0" w:firstLine="1080"/>
        <w:jc w:val="both"/>
        <w:rPr>
          <w:sz w:val="28"/>
          <w:szCs w:val="28"/>
        </w:rPr>
      </w:pPr>
      <w:r w:rsidRPr="00695840">
        <w:rPr>
          <w:sz w:val="28"/>
          <w:szCs w:val="28"/>
        </w:rPr>
        <w:t>extinderea utilizării surselor de date administrative în procesul statistic;</w:t>
      </w:r>
    </w:p>
    <w:p w:rsidR="00695840" w:rsidRDefault="00C85D26" w:rsidP="00695840">
      <w:pPr>
        <w:pStyle w:val="ListParagraph"/>
        <w:numPr>
          <w:ilvl w:val="0"/>
          <w:numId w:val="19"/>
        </w:numPr>
        <w:ind w:left="0" w:firstLine="1080"/>
        <w:jc w:val="both"/>
        <w:rPr>
          <w:sz w:val="28"/>
          <w:szCs w:val="28"/>
        </w:rPr>
      </w:pPr>
      <w:r w:rsidRPr="00695840">
        <w:rPr>
          <w:sz w:val="28"/>
          <w:szCs w:val="28"/>
        </w:rPr>
        <w:t xml:space="preserve">eficientizarea procesului de colectare, prelucrare și diseminare a datelor statistice în concordanță cu elementele esențiale vizând reducerea sarcinii de răspuns a furnizorilor de date primare prin înlocuirea cu procedee moderne de valorificare a potențialului existent în sursele de date și registrele administrative; </w:t>
      </w:r>
    </w:p>
    <w:p w:rsidR="00695840" w:rsidRDefault="00C85D26" w:rsidP="00695840">
      <w:pPr>
        <w:pStyle w:val="ListParagraph"/>
        <w:numPr>
          <w:ilvl w:val="0"/>
          <w:numId w:val="19"/>
        </w:numPr>
        <w:ind w:left="0" w:firstLine="1080"/>
        <w:jc w:val="both"/>
        <w:rPr>
          <w:sz w:val="28"/>
          <w:szCs w:val="28"/>
        </w:rPr>
      </w:pPr>
      <w:r w:rsidRPr="00695840">
        <w:rPr>
          <w:sz w:val="28"/>
          <w:szCs w:val="28"/>
        </w:rPr>
        <w:t xml:space="preserve">îmbunătățirea în continuare a calității produselor statistice; </w:t>
      </w:r>
    </w:p>
    <w:p w:rsidR="00695840" w:rsidRDefault="00C85D26" w:rsidP="00695840">
      <w:pPr>
        <w:pStyle w:val="ListParagraph"/>
        <w:numPr>
          <w:ilvl w:val="0"/>
          <w:numId w:val="19"/>
        </w:numPr>
        <w:ind w:left="0" w:firstLine="1080"/>
        <w:jc w:val="both"/>
        <w:rPr>
          <w:sz w:val="28"/>
          <w:szCs w:val="28"/>
        </w:rPr>
      </w:pPr>
      <w:r w:rsidRPr="00695840">
        <w:rPr>
          <w:sz w:val="28"/>
          <w:szCs w:val="28"/>
        </w:rPr>
        <w:t>pregătirea în concordanță cu măsurile și acțiunile inovatoare prevăzute în pro</w:t>
      </w:r>
      <w:r w:rsidR="00FB036F">
        <w:rPr>
          <w:sz w:val="28"/>
          <w:szCs w:val="28"/>
        </w:rPr>
        <w:t>gramele de lucru ale rundei 2021</w:t>
      </w:r>
      <w:r w:rsidRPr="00695840">
        <w:rPr>
          <w:sz w:val="28"/>
          <w:szCs w:val="28"/>
        </w:rPr>
        <w:t xml:space="preserve">/2021 a RPL și RGA; </w:t>
      </w:r>
    </w:p>
    <w:p w:rsidR="00695840" w:rsidRDefault="00C85D26" w:rsidP="00695840">
      <w:pPr>
        <w:pStyle w:val="ListParagraph"/>
        <w:numPr>
          <w:ilvl w:val="0"/>
          <w:numId w:val="19"/>
        </w:numPr>
        <w:ind w:left="0" w:firstLine="1080"/>
        <w:jc w:val="both"/>
        <w:rPr>
          <w:sz w:val="28"/>
          <w:szCs w:val="28"/>
        </w:rPr>
      </w:pPr>
      <w:r w:rsidRPr="00695840">
        <w:rPr>
          <w:sz w:val="28"/>
          <w:szCs w:val="28"/>
        </w:rPr>
        <w:t xml:space="preserve">crearea condițiilor de dezvoltare a resurselor umane, în special în privința calității resurselor, a capabilității și capacității acestora de a face față noilor provocări ale programului multianual; </w:t>
      </w:r>
    </w:p>
    <w:p w:rsidR="00695840" w:rsidRDefault="00C85D26" w:rsidP="00695840">
      <w:pPr>
        <w:pStyle w:val="ListParagraph"/>
        <w:numPr>
          <w:ilvl w:val="0"/>
          <w:numId w:val="19"/>
        </w:numPr>
        <w:ind w:left="0" w:firstLine="1080"/>
        <w:jc w:val="both"/>
        <w:rPr>
          <w:sz w:val="28"/>
          <w:szCs w:val="28"/>
        </w:rPr>
      </w:pPr>
      <w:r w:rsidRPr="00695840">
        <w:rPr>
          <w:sz w:val="28"/>
          <w:szCs w:val="28"/>
        </w:rPr>
        <w:t xml:space="preserve">atragerea în sistemul statistic, într-o filozofie cu aplicație practică, a resurselor existente în structurile altor producători de statistici oficiale; </w:t>
      </w:r>
    </w:p>
    <w:p w:rsidR="00C85D26" w:rsidRPr="00695840" w:rsidRDefault="00C85D26" w:rsidP="00695840">
      <w:pPr>
        <w:pStyle w:val="ListParagraph"/>
        <w:numPr>
          <w:ilvl w:val="0"/>
          <w:numId w:val="19"/>
        </w:numPr>
        <w:ind w:left="0" w:firstLine="1080"/>
        <w:jc w:val="both"/>
        <w:rPr>
          <w:sz w:val="28"/>
          <w:szCs w:val="28"/>
        </w:rPr>
      </w:pPr>
      <w:r w:rsidRPr="00695840">
        <w:rPr>
          <w:sz w:val="28"/>
          <w:szCs w:val="28"/>
        </w:rPr>
        <w:t xml:space="preserve">crearea și perfecționarea de resurse informatice noi, modernizate, care să satisfacă cerințele generale ale </w:t>
      </w:r>
      <w:r w:rsidR="00D46D69" w:rsidRPr="00695840">
        <w:rPr>
          <w:sz w:val="28"/>
          <w:szCs w:val="28"/>
        </w:rPr>
        <w:t>dezvoltării</w:t>
      </w:r>
      <w:r w:rsidRPr="00695840">
        <w:rPr>
          <w:sz w:val="28"/>
          <w:szCs w:val="28"/>
        </w:rPr>
        <w:t xml:space="preserve"> procesului statistic.</w:t>
      </w:r>
    </w:p>
    <w:p w:rsidR="00695840" w:rsidRDefault="00695840" w:rsidP="001D2871">
      <w:pPr>
        <w:ind w:firstLine="720"/>
        <w:jc w:val="both"/>
        <w:rPr>
          <w:sz w:val="28"/>
          <w:szCs w:val="28"/>
        </w:rPr>
      </w:pPr>
    </w:p>
    <w:p w:rsidR="00333458" w:rsidRPr="005563C5" w:rsidRDefault="00A425BD" w:rsidP="001D2871">
      <w:pPr>
        <w:ind w:firstLine="720"/>
        <w:jc w:val="both"/>
        <w:rPr>
          <w:sz w:val="28"/>
          <w:szCs w:val="28"/>
        </w:rPr>
      </w:pPr>
      <w:r w:rsidRPr="005563C5">
        <w:rPr>
          <w:sz w:val="28"/>
          <w:szCs w:val="28"/>
        </w:rPr>
        <w:t>Sediul Direcției Județene de Statistică Argeș se află în Pitești, Piața Vasile Milea nr.1 etaj IV, județul Argeș, telefon 0248.217211, fax 0248.210820, email</w:t>
      </w:r>
      <w:r w:rsidR="003C61CC" w:rsidRPr="005563C5">
        <w:rPr>
          <w:sz w:val="28"/>
          <w:szCs w:val="28"/>
        </w:rPr>
        <w:t xml:space="preserve"> </w:t>
      </w:r>
      <w:r w:rsidR="003C61CC" w:rsidRPr="005563C5">
        <w:rPr>
          <w:i/>
          <w:sz w:val="28"/>
          <w:szCs w:val="28"/>
        </w:rPr>
        <w:t>tele@arges.insse.ro</w:t>
      </w:r>
      <w:r w:rsidR="001D2871" w:rsidRPr="005563C5">
        <w:rPr>
          <w:sz w:val="28"/>
          <w:szCs w:val="28"/>
        </w:rPr>
        <w:t>, web www.arges.insse.ro</w:t>
      </w:r>
    </w:p>
    <w:p w:rsidR="00695840" w:rsidRDefault="00695840" w:rsidP="001D2871">
      <w:pPr>
        <w:ind w:firstLine="840"/>
        <w:jc w:val="both"/>
        <w:rPr>
          <w:sz w:val="28"/>
          <w:szCs w:val="28"/>
          <w:lang w:val="ro-RO"/>
        </w:rPr>
      </w:pPr>
    </w:p>
    <w:p w:rsidR="001D2871" w:rsidRPr="005563C5" w:rsidRDefault="001D2871" w:rsidP="001D2871">
      <w:pPr>
        <w:ind w:firstLine="840"/>
        <w:jc w:val="both"/>
        <w:rPr>
          <w:sz w:val="28"/>
          <w:szCs w:val="28"/>
          <w:lang w:val="ro-RO"/>
        </w:rPr>
      </w:pPr>
      <w:r w:rsidRPr="005563C5">
        <w:rPr>
          <w:sz w:val="28"/>
          <w:szCs w:val="28"/>
          <w:lang w:val="ro-RO"/>
        </w:rPr>
        <w:t>Direcţia Judeţeană de Statistică Argeş are următoarea structură organizatorică:</w:t>
      </w:r>
    </w:p>
    <w:p w:rsidR="00A63301" w:rsidRPr="005563C5" w:rsidRDefault="00A63301" w:rsidP="001D2871">
      <w:pPr>
        <w:ind w:firstLine="840"/>
        <w:jc w:val="both"/>
        <w:rPr>
          <w:b/>
          <w:sz w:val="28"/>
          <w:szCs w:val="28"/>
          <w:lang w:val="ro-RO"/>
        </w:rPr>
      </w:pPr>
    </w:p>
    <w:p w:rsidR="00A63301" w:rsidRPr="005563C5" w:rsidRDefault="00A63301" w:rsidP="001D2871">
      <w:pPr>
        <w:ind w:firstLine="840"/>
        <w:jc w:val="both"/>
        <w:rPr>
          <w:b/>
          <w:sz w:val="28"/>
          <w:szCs w:val="28"/>
          <w:lang w:val="ro-RO"/>
        </w:rPr>
      </w:pPr>
    </w:p>
    <w:p w:rsidR="001D2871" w:rsidRPr="005563C5" w:rsidRDefault="001D2871" w:rsidP="001D2871">
      <w:pPr>
        <w:ind w:firstLine="840"/>
        <w:jc w:val="both"/>
        <w:rPr>
          <w:sz w:val="28"/>
          <w:szCs w:val="28"/>
          <w:lang w:val="ro-RO"/>
        </w:rPr>
      </w:pPr>
      <w:r w:rsidRPr="005563C5">
        <w:rPr>
          <w:b/>
          <w:sz w:val="28"/>
          <w:szCs w:val="28"/>
          <w:lang w:val="ro-RO"/>
        </w:rPr>
        <w:t xml:space="preserve">Serviciul de Cercetări Statistice în Întreprinderi şi Exploataţii </w:t>
      </w:r>
      <w:r w:rsidR="00695840">
        <w:rPr>
          <w:b/>
          <w:sz w:val="28"/>
          <w:szCs w:val="28"/>
          <w:lang w:val="ro-RO"/>
        </w:rPr>
        <w:t xml:space="preserve">                       </w:t>
      </w:r>
      <w:r w:rsidRPr="005563C5">
        <w:rPr>
          <w:b/>
          <w:sz w:val="28"/>
          <w:szCs w:val="28"/>
          <w:lang w:val="ro-RO"/>
        </w:rPr>
        <w:t>Agricole</w:t>
      </w:r>
      <w:r w:rsidRPr="005563C5">
        <w:rPr>
          <w:sz w:val="28"/>
          <w:szCs w:val="28"/>
          <w:lang w:val="ro-RO"/>
        </w:rPr>
        <w:t xml:space="preserve"> asigură, în principal, culegerea datelor şi informaţiilor statistice de la agenţii economico-sociali de pe teritoriul judeţului, realizează atribuţiile şi sarcinile şi îndeplineşte responsabilităţile direcţiei în domeniile: industrie, resurse energetice, investiţii, construcţii, transporturi rutiere de pasageri, comerţ cu amănuntul şi cu ridicata, agricultură, silvicultură, protecţia mediului, locuinţe, învăţământ, sănătate, cultură, forţă de muncă şi salarii, preţuri şi tarife, alte servicii, indicatori din statistici structurale în întreprinderi şi exploataţii agricole</w:t>
      </w:r>
      <w:r w:rsidR="00D46D69" w:rsidRPr="005563C5">
        <w:rPr>
          <w:sz w:val="28"/>
          <w:szCs w:val="28"/>
          <w:lang w:val="ro-RO"/>
        </w:rPr>
        <w:t>,</w:t>
      </w:r>
      <w:r w:rsidRPr="005563C5">
        <w:rPr>
          <w:sz w:val="28"/>
          <w:szCs w:val="28"/>
          <w:lang w:val="ro-RO"/>
        </w:rPr>
        <w:t xml:space="preserve"> asigurând cunoaşterea şi aplicarea unitară a normelor metodologice şi de calcul ale indicatorilor statistici, colaborează la realizarea lucrărilor de analiză şi de sinteză la nivelul direcţiei.</w:t>
      </w:r>
    </w:p>
    <w:p w:rsidR="001D2871" w:rsidRPr="005563C5" w:rsidRDefault="001D2871" w:rsidP="001D2871">
      <w:pPr>
        <w:ind w:firstLine="840"/>
        <w:jc w:val="both"/>
        <w:rPr>
          <w:b/>
          <w:sz w:val="28"/>
          <w:szCs w:val="28"/>
          <w:lang w:val="ro-RO"/>
        </w:rPr>
      </w:pPr>
    </w:p>
    <w:p w:rsidR="001D2871" w:rsidRPr="005563C5" w:rsidRDefault="00F9637E" w:rsidP="001D2871">
      <w:pPr>
        <w:ind w:firstLine="840"/>
        <w:jc w:val="both"/>
        <w:rPr>
          <w:sz w:val="28"/>
          <w:szCs w:val="28"/>
          <w:lang w:val="ro-RO"/>
        </w:rPr>
      </w:pPr>
      <w:r>
        <w:rPr>
          <w:b/>
          <w:sz w:val="28"/>
          <w:szCs w:val="28"/>
          <w:lang w:val="ro-RO"/>
        </w:rPr>
        <w:lastRenderedPageBreak/>
        <w:t>Compartimentul</w:t>
      </w:r>
      <w:r w:rsidR="001D2871" w:rsidRPr="005563C5">
        <w:rPr>
          <w:b/>
          <w:sz w:val="28"/>
          <w:szCs w:val="28"/>
          <w:lang w:val="ro-RO"/>
        </w:rPr>
        <w:t xml:space="preserve"> Cercetări Statistice în Gospodăriile Populaţiei, Demografie, Gestiune Resurse Umane şi Contabilitate </w:t>
      </w:r>
      <w:r w:rsidR="001D2871" w:rsidRPr="005563C5">
        <w:rPr>
          <w:sz w:val="28"/>
          <w:szCs w:val="28"/>
          <w:lang w:val="ro-RO"/>
        </w:rPr>
        <w:t>asigură, în concordanţă cu atribuţiile, sarcinile şi responsabilităţile direcţiei, realizarea obiectivelor proprii în domeniile: demografie, cercetări statistice în gospodăriile populaţiei – bugete de familie, condi</w:t>
      </w:r>
      <w:r w:rsidR="00D46D69" w:rsidRPr="005563C5">
        <w:rPr>
          <w:sz w:val="28"/>
          <w:szCs w:val="28"/>
          <w:lang w:val="ro-RO"/>
        </w:rPr>
        <w:t>ţii de viaţă, cererea turistică -</w:t>
      </w:r>
      <w:r w:rsidR="001D2871" w:rsidRPr="005563C5">
        <w:rPr>
          <w:sz w:val="28"/>
          <w:szCs w:val="28"/>
          <w:lang w:val="ro-RO"/>
        </w:rPr>
        <w:t xml:space="preserve"> asigurând cunoaşterea şi aplicarea unitară a normelor metodologice şi de calcul ale indicatorilor statistici. De asemenea, realizează, conform legislaţiei şi normelor în vigoare, gestiunea resurselor umane şi financiare repartizate Direcţiei Judeţene de Statistică Argeş şi evidenţa contabilă a instituţiei în baza legislaţiei în vigoare.</w:t>
      </w:r>
    </w:p>
    <w:p w:rsidR="001D2871" w:rsidRPr="005563C5" w:rsidRDefault="001D2871" w:rsidP="001D2871">
      <w:pPr>
        <w:ind w:firstLine="840"/>
        <w:jc w:val="both"/>
        <w:rPr>
          <w:b/>
          <w:sz w:val="28"/>
          <w:szCs w:val="28"/>
          <w:lang w:val="ro-RO"/>
        </w:rPr>
      </w:pPr>
    </w:p>
    <w:p w:rsidR="001D2871" w:rsidRPr="005563C5" w:rsidRDefault="001D2871" w:rsidP="001D2871">
      <w:pPr>
        <w:ind w:firstLine="840"/>
        <w:jc w:val="both"/>
        <w:rPr>
          <w:sz w:val="28"/>
          <w:szCs w:val="28"/>
          <w:lang w:val="ro-RO"/>
        </w:rPr>
      </w:pPr>
      <w:r w:rsidRPr="005563C5">
        <w:rPr>
          <w:b/>
          <w:sz w:val="28"/>
          <w:szCs w:val="28"/>
          <w:lang w:val="ro-RO"/>
        </w:rPr>
        <w:t>Compartimentul Sinteză, Coordonare, Diseminare şi Relaţii cu Publicul</w:t>
      </w:r>
      <w:r w:rsidRPr="005563C5">
        <w:rPr>
          <w:sz w:val="28"/>
          <w:szCs w:val="28"/>
          <w:lang w:val="ro-RO"/>
        </w:rPr>
        <w:t xml:space="preserve"> asigură în baza atribuţiilor, sarcinilor şi responsabilităţilor direcţiei, cunoaşterea şi aplicarea unitară a normelor metodologice şi de calcul ale indicatorilor statistici, elaborează lucrări de sinteză economică, studii şi analize în profil teritorial, coordonează şi/sau elaborează publicaţiile statistice ale direcţiei, păstrează, arhivează şi gestionează fondul teritorial cu date, este unic furnizor de date şi informaţii statistice în cadrul Direcţiei Judeţene de Statistică.</w:t>
      </w:r>
    </w:p>
    <w:p w:rsidR="001D2871" w:rsidRPr="005563C5" w:rsidRDefault="001D2871" w:rsidP="001D2871">
      <w:pPr>
        <w:ind w:firstLine="840"/>
        <w:jc w:val="both"/>
        <w:rPr>
          <w:sz w:val="28"/>
          <w:szCs w:val="28"/>
          <w:lang w:val="ro-RO"/>
        </w:rPr>
      </w:pPr>
      <w:r w:rsidRPr="005563C5">
        <w:rPr>
          <w:sz w:val="28"/>
          <w:szCs w:val="28"/>
          <w:lang w:val="ro-RO"/>
        </w:rPr>
        <w:t>De asemenea asigură culegerea, prelucrarea, analiza şi interpretarea datelor statistice din domeniul transportului rutier de mărfuri, inovării, cercetării-dezvoltării, turismului şi a indicatorilor din statistici structurale în întreprinderi şi din domeniul protecţiei mediului.</w:t>
      </w:r>
    </w:p>
    <w:p w:rsidR="001D2871" w:rsidRPr="005563C5" w:rsidRDefault="001D2871" w:rsidP="001D2871">
      <w:pPr>
        <w:ind w:firstLine="840"/>
        <w:jc w:val="both"/>
        <w:rPr>
          <w:b/>
          <w:sz w:val="28"/>
          <w:szCs w:val="28"/>
          <w:lang w:val="ro-RO"/>
        </w:rPr>
      </w:pPr>
    </w:p>
    <w:p w:rsidR="001D2871" w:rsidRPr="005563C5" w:rsidRDefault="001D2871" w:rsidP="001D2871">
      <w:pPr>
        <w:ind w:firstLine="840"/>
        <w:jc w:val="both"/>
        <w:rPr>
          <w:sz w:val="28"/>
          <w:szCs w:val="28"/>
          <w:lang w:val="ro-RO"/>
        </w:rPr>
      </w:pPr>
      <w:r w:rsidRPr="005563C5">
        <w:rPr>
          <w:b/>
          <w:sz w:val="28"/>
          <w:szCs w:val="28"/>
          <w:lang w:val="ro-RO"/>
        </w:rPr>
        <w:t>Compartimentul IT, Intrastat şi INSPIRE</w:t>
      </w:r>
      <w:r w:rsidRPr="005563C5">
        <w:rPr>
          <w:sz w:val="28"/>
          <w:szCs w:val="28"/>
          <w:lang w:val="ro-RO"/>
        </w:rPr>
        <w:t xml:space="preserve"> are ca obiect principal de activitate proiectarea, dezvo</w:t>
      </w:r>
      <w:r w:rsidR="00695840">
        <w:rPr>
          <w:sz w:val="28"/>
          <w:szCs w:val="28"/>
          <w:lang w:val="ro-RO"/>
        </w:rPr>
        <w:t>ltarea şi utilizarea aplicaţiilor</w:t>
      </w:r>
      <w:r w:rsidRPr="005563C5">
        <w:rPr>
          <w:sz w:val="28"/>
          <w:szCs w:val="28"/>
          <w:lang w:val="ro-RO"/>
        </w:rPr>
        <w:t xml:space="preserve"> informatice pe plan local, întreţinerea şi gestionarea reţelei IT, crearea şi actualizarea Registrului Intrastat, identificarea şi informarea agenţilor economici care activează în domeniu asupra sistemului Intrastat, recepţia, prelucrarea şi validarea primară a datelor, în conformitate cu metodologia de lucru specifică, asigurând cunoaşterea şi aplicarea unitară a normelor metodologice şi de calcul ale indicatorilor statistici, executarea</w:t>
      </w:r>
      <w:r w:rsidR="005563C5">
        <w:rPr>
          <w:sz w:val="28"/>
          <w:szCs w:val="28"/>
          <w:lang w:val="ro-RO"/>
        </w:rPr>
        <w:t xml:space="preserve"> </w:t>
      </w:r>
      <w:r w:rsidRPr="005563C5">
        <w:rPr>
          <w:sz w:val="28"/>
          <w:szCs w:val="28"/>
          <w:lang w:val="ro-RO"/>
        </w:rPr>
        <w:t>operaţi</w:t>
      </w:r>
      <w:r w:rsidR="00695840">
        <w:rPr>
          <w:sz w:val="28"/>
          <w:szCs w:val="28"/>
          <w:lang w:val="ro-RO"/>
        </w:rPr>
        <w:t>i</w:t>
      </w:r>
      <w:r w:rsidRPr="005563C5">
        <w:rPr>
          <w:sz w:val="28"/>
          <w:szCs w:val="28"/>
          <w:lang w:val="ro-RO"/>
        </w:rPr>
        <w:t>lor de conversie în format digital a planurilor analogice existente, utilizând diferite soluţii de scanare şi georeferenţiere.</w:t>
      </w:r>
    </w:p>
    <w:p w:rsidR="001D2871" w:rsidRPr="005563C5" w:rsidRDefault="001D2871" w:rsidP="001D2871">
      <w:pPr>
        <w:ind w:firstLine="840"/>
        <w:jc w:val="both"/>
        <w:rPr>
          <w:sz w:val="28"/>
          <w:szCs w:val="28"/>
          <w:lang w:val="ro-RO"/>
        </w:rPr>
      </w:pPr>
    </w:p>
    <w:p w:rsidR="001D2871" w:rsidRDefault="001D2871" w:rsidP="001D2871">
      <w:pPr>
        <w:tabs>
          <w:tab w:val="left" w:pos="0"/>
          <w:tab w:val="left" w:pos="1080"/>
        </w:tabs>
        <w:ind w:firstLine="720"/>
        <w:jc w:val="both"/>
        <w:rPr>
          <w:sz w:val="28"/>
          <w:szCs w:val="28"/>
          <w:lang w:val="ro-RO"/>
        </w:rPr>
      </w:pPr>
      <w:r w:rsidRPr="005563C5">
        <w:rPr>
          <w:sz w:val="28"/>
          <w:szCs w:val="28"/>
          <w:lang w:val="ro-RO"/>
        </w:rPr>
        <w:t>Serviciile şi compartimentele din cadrul Direcţiei Judeţene de Statistică Argeş au relaţii de colaborare cu celelalte direcţii regionale/judeţene de statistică din ţară în vederea stabilirii şi obţinerii informaţiilor în profil teritorial, cu direcţiile generale/direcţiile de specialitate din cadrul Institutului Naţional de Statistică, cu unităţile economico-sociale, gospodăriile populaţiei şi alţi furnizori/beneficiari de date statistice de la care primesc informaţii statistice primare. De asemenea au relaţii de colaborare cu organele administraţiei publice locale şi cu serviciile deconcentrate ale administraţiei publice centrale.</w:t>
      </w:r>
    </w:p>
    <w:p w:rsidR="00F9637E" w:rsidRPr="005563C5" w:rsidRDefault="00F9637E" w:rsidP="001D2871">
      <w:pPr>
        <w:tabs>
          <w:tab w:val="left" w:pos="0"/>
          <w:tab w:val="left" w:pos="1080"/>
        </w:tabs>
        <w:ind w:firstLine="720"/>
        <w:jc w:val="both"/>
        <w:rPr>
          <w:sz w:val="28"/>
          <w:szCs w:val="28"/>
          <w:lang w:val="it-IT"/>
        </w:rPr>
      </w:pPr>
    </w:p>
    <w:p w:rsidR="001D2871" w:rsidRPr="006E5160" w:rsidRDefault="001D2871" w:rsidP="001D2871">
      <w:pPr>
        <w:rPr>
          <w:b/>
          <w:i/>
          <w:sz w:val="32"/>
          <w:szCs w:val="32"/>
          <w:u w:val="single"/>
        </w:rPr>
      </w:pPr>
      <w:r w:rsidRPr="006E5160">
        <w:rPr>
          <w:b/>
          <w:i/>
          <w:sz w:val="32"/>
          <w:szCs w:val="32"/>
          <w:u w:val="single"/>
        </w:rPr>
        <w:t>Politici publice</w:t>
      </w:r>
    </w:p>
    <w:p w:rsidR="001D2871" w:rsidRPr="005563C5" w:rsidRDefault="001D2871" w:rsidP="001D2871">
      <w:pPr>
        <w:rPr>
          <w:b/>
          <w:sz w:val="28"/>
          <w:szCs w:val="28"/>
        </w:rPr>
      </w:pPr>
    </w:p>
    <w:p w:rsidR="001D2871" w:rsidRPr="005563C5" w:rsidRDefault="001D2871" w:rsidP="001D2871">
      <w:pPr>
        <w:rPr>
          <w:b/>
          <w:sz w:val="28"/>
          <w:szCs w:val="28"/>
        </w:rPr>
      </w:pPr>
    </w:p>
    <w:p w:rsidR="001D2871" w:rsidRPr="005563C5" w:rsidRDefault="001D2871" w:rsidP="001D2871">
      <w:pPr>
        <w:ind w:firstLine="840"/>
        <w:jc w:val="both"/>
        <w:rPr>
          <w:sz w:val="28"/>
          <w:szCs w:val="28"/>
          <w:lang w:val="ro-RO"/>
        </w:rPr>
      </w:pPr>
      <w:r w:rsidRPr="005563C5">
        <w:rPr>
          <w:sz w:val="28"/>
          <w:szCs w:val="28"/>
          <w:lang w:val="ro-RO"/>
        </w:rPr>
        <w:t>În realizarea obiectului</w:t>
      </w:r>
      <w:r w:rsidR="005563C5">
        <w:rPr>
          <w:sz w:val="28"/>
          <w:szCs w:val="28"/>
          <w:lang w:val="ro-RO"/>
        </w:rPr>
        <w:t xml:space="preserve"> </w:t>
      </w:r>
      <w:r w:rsidRPr="005563C5">
        <w:rPr>
          <w:sz w:val="28"/>
          <w:szCs w:val="28"/>
          <w:lang w:val="ro-RO"/>
        </w:rPr>
        <w:t>de activitate, ce se întemeiaz</w:t>
      </w:r>
      <w:r w:rsidRPr="005563C5">
        <w:rPr>
          <w:sz w:val="28"/>
          <w:szCs w:val="28"/>
        </w:rPr>
        <w:sym w:font="Times New Roman" w:char="0103"/>
      </w:r>
      <w:r w:rsidRPr="005563C5">
        <w:rPr>
          <w:sz w:val="28"/>
          <w:szCs w:val="28"/>
          <w:lang w:val="ro-RO"/>
        </w:rPr>
        <w:t xml:space="preserve"> pe principiile </w:t>
      </w:r>
      <w:r w:rsidR="00695840">
        <w:rPr>
          <w:sz w:val="28"/>
          <w:szCs w:val="28"/>
          <w:lang w:val="ro-RO"/>
        </w:rPr>
        <w:t xml:space="preserve">de </w:t>
      </w:r>
      <w:r w:rsidRPr="005563C5">
        <w:rPr>
          <w:sz w:val="28"/>
          <w:szCs w:val="28"/>
          <w:lang w:val="ro-RO"/>
        </w:rPr>
        <w:t>independenţă profesională, autoritate în materie de culegere a datelor, adecvare a resurselor, angajamentul privind calitatea în statistică,</w:t>
      </w:r>
      <w:r w:rsidR="005563C5">
        <w:rPr>
          <w:sz w:val="28"/>
          <w:szCs w:val="28"/>
          <w:lang w:val="ro-RO"/>
        </w:rPr>
        <w:t xml:space="preserve"> </w:t>
      </w:r>
      <w:r w:rsidRPr="005563C5">
        <w:rPr>
          <w:sz w:val="28"/>
          <w:szCs w:val="28"/>
          <w:lang w:val="ro-RO"/>
        </w:rPr>
        <w:t>confiden</w:t>
      </w:r>
      <w:r w:rsidRPr="005563C5">
        <w:rPr>
          <w:sz w:val="28"/>
          <w:szCs w:val="28"/>
        </w:rPr>
        <w:sym w:font="Times New Roman" w:char="0163"/>
      </w:r>
      <w:r w:rsidRPr="005563C5">
        <w:rPr>
          <w:sz w:val="28"/>
          <w:szCs w:val="28"/>
          <w:lang w:val="ro-RO"/>
        </w:rPr>
        <w:t xml:space="preserve">ialitate, imparţialitate şi </w:t>
      </w:r>
      <w:r w:rsidRPr="005563C5">
        <w:rPr>
          <w:sz w:val="28"/>
          <w:szCs w:val="28"/>
          <w:lang w:val="ro-RO"/>
        </w:rPr>
        <w:lastRenderedPageBreak/>
        <w:t>obiectivitate, metodologie solidă, proceduri statistice adecvate, sarcina de răspuns adecvată pentru repondenţi, eficienţa sub raportul costurilor, relevanţa, precizia şi fiabilitatea, promptitudinea şi punctualitatea, coerenţa şi comparabilitatea, şi a raportului cost/eficienţă, Direcţia Judeţeană de Statistic</w:t>
      </w:r>
      <w:r w:rsidRPr="005563C5">
        <w:rPr>
          <w:sz w:val="28"/>
          <w:szCs w:val="28"/>
        </w:rPr>
        <w:sym w:font="Times New Roman" w:char="0103"/>
      </w:r>
      <w:r w:rsidRPr="005563C5">
        <w:rPr>
          <w:sz w:val="28"/>
          <w:szCs w:val="28"/>
          <w:lang w:val="ro-RO"/>
        </w:rPr>
        <w:t xml:space="preserve"> Argeş</w:t>
      </w:r>
      <w:r w:rsidR="005563C5">
        <w:rPr>
          <w:sz w:val="28"/>
          <w:szCs w:val="28"/>
          <w:lang w:val="ro-RO"/>
        </w:rPr>
        <w:t xml:space="preserve"> </w:t>
      </w:r>
      <w:r w:rsidRPr="005563C5">
        <w:rPr>
          <w:sz w:val="28"/>
          <w:szCs w:val="28"/>
          <w:lang w:val="ro-RO"/>
        </w:rPr>
        <w:t>are urm</w:t>
      </w:r>
      <w:r w:rsidRPr="005563C5">
        <w:rPr>
          <w:sz w:val="28"/>
          <w:szCs w:val="28"/>
        </w:rPr>
        <w:sym w:font="Times New Roman" w:char="0103"/>
      </w:r>
      <w:r w:rsidRPr="005563C5">
        <w:rPr>
          <w:sz w:val="28"/>
          <w:szCs w:val="28"/>
          <w:lang w:val="ro-RO"/>
        </w:rPr>
        <w:t>toarele atribu</w:t>
      </w:r>
      <w:r w:rsidRPr="005563C5">
        <w:rPr>
          <w:sz w:val="28"/>
          <w:szCs w:val="28"/>
        </w:rPr>
        <w:sym w:font="Times New Roman" w:char="0163"/>
      </w:r>
      <w:r w:rsidRPr="005563C5">
        <w:rPr>
          <w:sz w:val="28"/>
          <w:szCs w:val="28"/>
          <w:lang w:val="ro-RO"/>
        </w:rPr>
        <w:t>ii:</w:t>
      </w:r>
    </w:p>
    <w:p w:rsidR="001D2871" w:rsidRPr="005563C5" w:rsidRDefault="001D2871" w:rsidP="001D2871">
      <w:pPr>
        <w:numPr>
          <w:ilvl w:val="0"/>
          <w:numId w:val="1"/>
        </w:numPr>
        <w:tabs>
          <w:tab w:val="left" w:pos="0"/>
          <w:tab w:val="left" w:pos="1080"/>
        </w:tabs>
        <w:ind w:left="0" w:firstLine="720"/>
        <w:jc w:val="both"/>
        <w:rPr>
          <w:sz w:val="28"/>
          <w:szCs w:val="28"/>
          <w:lang w:val="ro-RO"/>
        </w:rPr>
      </w:pPr>
      <w:r w:rsidRPr="005563C5">
        <w:rPr>
          <w:sz w:val="28"/>
          <w:szCs w:val="28"/>
          <w:lang w:val="ro-RO"/>
        </w:rPr>
        <w:t>asigură culegerea, verificarea, prelucrarea şi analiza datelor statistice de la agenţii economici</w:t>
      </w:r>
      <w:r w:rsidR="005563C5">
        <w:rPr>
          <w:sz w:val="28"/>
          <w:szCs w:val="28"/>
          <w:lang w:val="ro-RO"/>
        </w:rPr>
        <w:t xml:space="preserve"> </w:t>
      </w:r>
      <w:r w:rsidRPr="005563C5">
        <w:rPr>
          <w:sz w:val="28"/>
          <w:szCs w:val="28"/>
          <w:lang w:val="ro-RO"/>
        </w:rPr>
        <w:t>şi</w:t>
      </w:r>
      <w:r w:rsidR="005563C5">
        <w:rPr>
          <w:sz w:val="28"/>
          <w:szCs w:val="28"/>
          <w:lang w:val="ro-RO"/>
        </w:rPr>
        <w:t xml:space="preserve"> </w:t>
      </w:r>
      <w:r w:rsidRPr="005563C5">
        <w:rPr>
          <w:sz w:val="28"/>
          <w:szCs w:val="28"/>
          <w:lang w:val="ro-RO"/>
        </w:rPr>
        <w:t xml:space="preserve">sociali pentru cercetările prevăzute în Programul Cercetărilor Statistice aprobat; </w:t>
      </w:r>
    </w:p>
    <w:p w:rsidR="001D2871" w:rsidRPr="005563C5" w:rsidRDefault="001D2871" w:rsidP="001D2871">
      <w:pPr>
        <w:numPr>
          <w:ilvl w:val="0"/>
          <w:numId w:val="2"/>
        </w:numPr>
        <w:tabs>
          <w:tab w:val="left" w:pos="0"/>
          <w:tab w:val="left" w:pos="1080"/>
        </w:tabs>
        <w:ind w:left="0" w:firstLine="720"/>
        <w:jc w:val="both"/>
        <w:rPr>
          <w:sz w:val="28"/>
          <w:szCs w:val="28"/>
          <w:lang w:val="ro-RO"/>
        </w:rPr>
      </w:pPr>
      <w:r w:rsidRPr="005563C5">
        <w:rPr>
          <w:sz w:val="28"/>
          <w:szCs w:val="28"/>
          <w:lang w:val="ro-RO"/>
        </w:rPr>
        <w:t>organizează şi efectuează cercet</w:t>
      </w:r>
      <w:r w:rsidRPr="005563C5">
        <w:rPr>
          <w:sz w:val="28"/>
          <w:szCs w:val="28"/>
        </w:rPr>
        <w:sym w:font="Times New Roman" w:char="0103"/>
      </w:r>
      <w:r w:rsidRPr="005563C5">
        <w:rPr>
          <w:sz w:val="28"/>
          <w:szCs w:val="28"/>
          <w:lang w:val="ro-RO"/>
        </w:rPr>
        <w:t xml:space="preserve">ri statistice cu caracter special cum ar fi: recensăminte, anchete selective şi alte cercetări statistice pe baza dispoziţiilor primite de la Institutul Naţional de Statistică; </w:t>
      </w:r>
    </w:p>
    <w:p w:rsidR="001D2871" w:rsidRPr="005563C5" w:rsidRDefault="001D2871" w:rsidP="001D2871">
      <w:pPr>
        <w:numPr>
          <w:ilvl w:val="0"/>
          <w:numId w:val="3"/>
        </w:numPr>
        <w:tabs>
          <w:tab w:val="left" w:pos="0"/>
          <w:tab w:val="left" w:pos="1080"/>
        </w:tabs>
        <w:ind w:left="0" w:firstLine="720"/>
        <w:jc w:val="both"/>
        <w:rPr>
          <w:sz w:val="28"/>
          <w:szCs w:val="28"/>
          <w:lang w:val="ro-RO"/>
        </w:rPr>
      </w:pPr>
      <w:r w:rsidRPr="005563C5">
        <w:rPr>
          <w:sz w:val="28"/>
          <w:szCs w:val="28"/>
          <w:lang w:val="ro-RO"/>
        </w:rPr>
        <w:t>organizează perfecţionarea pregătirii profesionale în domeniul statisticii pentru personalul din cadrul direcţiei;</w:t>
      </w:r>
    </w:p>
    <w:p w:rsidR="001D2871" w:rsidRPr="005563C5" w:rsidRDefault="001D2871" w:rsidP="001D2871">
      <w:pPr>
        <w:numPr>
          <w:ilvl w:val="0"/>
          <w:numId w:val="4"/>
        </w:numPr>
        <w:tabs>
          <w:tab w:val="left" w:pos="0"/>
          <w:tab w:val="left" w:pos="1080"/>
        </w:tabs>
        <w:ind w:left="0" w:firstLine="720"/>
        <w:jc w:val="both"/>
        <w:rPr>
          <w:sz w:val="28"/>
          <w:szCs w:val="28"/>
          <w:lang w:val="ro-RO"/>
        </w:rPr>
      </w:pPr>
      <w:r w:rsidRPr="005563C5">
        <w:rPr>
          <w:sz w:val="28"/>
          <w:szCs w:val="28"/>
          <w:lang w:val="ro-RO"/>
        </w:rPr>
        <w:t>organizează instruiri şi acordă asistenţă metodologică unităţilor economice şi sociale pentru completarea formularelor;</w:t>
      </w:r>
    </w:p>
    <w:p w:rsidR="001D2871" w:rsidRPr="005563C5" w:rsidRDefault="001D2871" w:rsidP="001D2871">
      <w:pPr>
        <w:numPr>
          <w:ilvl w:val="0"/>
          <w:numId w:val="5"/>
        </w:numPr>
        <w:tabs>
          <w:tab w:val="left" w:pos="0"/>
          <w:tab w:val="left" w:pos="1080"/>
        </w:tabs>
        <w:ind w:left="0" w:firstLine="720"/>
        <w:jc w:val="both"/>
        <w:rPr>
          <w:sz w:val="28"/>
          <w:szCs w:val="28"/>
          <w:lang w:val="it-IT"/>
        </w:rPr>
      </w:pPr>
      <w:r w:rsidRPr="005563C5">
        <w:rPr>
          <w:sz w:val="28"/>
          <w:szCs w:val="28"/>
          <w:lang w:val="it-IT"/>
        </w:rPr>
        <w:t xml:space="preserve">participă la experimentarea şi definitivarea metodologiilor statistice elaborate de </w:t>
      </w:r>
      <w:r w:rsidRPr="005563C5">
        <w:rPr>
          <w:sz w:val="28"/>
          <w:szCs w:val="28"/>
          <w:lang w:val="ro-RO"/>
        </w:rPr>
        <w:t>Institutul Naţional de Statistică</w:t>
      </w:r>
      <w:r w:rsidRPr="005563C5">
        <w:rPr>
          <w:sz w:val="28"/>
          <w:szCs w:val="28"/>
          <w:lang w:val="it-IT"/>
        </w:rPr>
        <w:t>;</w:t>
      </w:r>
    </w:p>
    <w:p w:rsidR="001D2871" w:rsidRPr="005563C5" w:rsidRDefault="001D2871" w:rsidP="001D2871">
      <w:pPr>
        <w:numPr>
          <w:ilvl w:val="0"/>
          <w:numId w:val="6"/>
        </w:numPr>
        <w:tabs>
          <w:tab w:val="left" w:pos="0"/>
          <w:tab w:val="left" w:pos="1080"/>
        </w:tabs>
        <w:ind w:left="0" w:firstLine="720"/>
        <w:jc w:val="both"/>
        <w:rPr>
          <w:sz w:val="28"/>
          <w:szCs w:val="28"/>
          <w:lang w:val="it-IT"/>
        </w:rPr>
      </w:pPr>
      <w:r w:rsidRPr="005563C5">
        <w:rPr>
          <w:sz w:val="28"/>
          <w:szCs w:val="28"/>
          <w:lang w:val="it-IT"/>
        </w:rPr>
        <w:t>propune solu</w:t>
      </w:r>
      <w:r w:rsidRPr="005563C5">
        <w:rPr>
          <w:sz w:val="28"/>
          <w:szCs w:val="28"/>
        </w:rPr>
        <w:sym w:font="Times New Roman" w:char="0163"/>
      </w:r>
      <w:r w:rsidRPr="005563C5">
        <w:rPr>
          <w:sz w:val="28"/>
          <w:szCs w:val="28"/>
          <w:lang w:val="it-IT"/>
        </w:rPr>
        <w:t>ii pentru îmbunătăţirea sistemului de indicatori;</w:t>
      </w:r>
    </w:p>
    <w:p w:rsidR="001D2871" w:rsidRPr="005563C5" w:rsidRDefault="001D2871" w:rsidP="001D2871">
      <w:pPr>
        <w:numPr>
          <w:ilvl w:val="0"/>
          <w:numId w:val="7"/>
        </w:numPr>
        <w:tabs>
          <w:tab w:val="left" w:pos="0"/>
          <w:tab w:val="left" w:pos="1080"/>
        </w:tabs>
        <w:ind w:left="0" w:firstLine="720"/>
        <w:jc w:val="both"/>
        <w:rPr>
          <w:sz w:val="28"/>
          <w:szCs w:val="28"/>
          <w:lang w:val="it-IT"/>
        </w:rPr>
      </w:pPr>
      <w:r w:rsidRPr="005563C5">
        <w:rPr>
          <w:sz w:val="28"/>
          <w:szCs w:val="28"/>
          <w:lang w:val="it-IT"/>
        </w:rPr>
        <w:t>asigură aplicarea normelor legale</w:t>
      </w:r>
      <w:r w:rsidR="00D46D69" w:rsidRPr="005563C5">
        <w:rPr>
          <w:sz w:val="28"/>
          <w:szCs w:val="28"/>
          <w:lang w:val="it-IT"/>
        </w:rPr>
        <w:t xml:space="preserve"> cu privire la determinarea şi </w:t>
      </w:r>
      <w:r w:rsidRPr="005563C5">
        <w:rPr>
          <w:sz w:val="28"/>
          <w:szCs w:val="28"/>
          <w:lang w:val="it-IT"/>
        </w:rPr>
        <w:t>publicarea</w:t>
      </w:r>
      <w:r w:rsidR="005563C5">
        <w:rPr>
          <w:sz w:val="28"/>
          <w:szCs w:val="28"/>
          <w:lang w:val="it-IT"/>
        </w:rPr>
        <w:t xml:space="preserve"> </w:t>
      </w:r>
      <w:r w:rsidRPr="005563C5">
        <w:rPr>
          <w:sz w:val="28"/>
          <w:szCs w:val="28"/>
          <w:lang w:val="it-IT"/>
        </w:rPr>
        <w:t>indicatorilor statistici;</w:t>
      </w:r>
    </w:p>
    <w:p w:rsidR="001D2871" w:rsidRPr="005563C5" w:rsidRDefault="001D2871" w:rsidP="001D2871">
      <w:pPr>
        <w:numPr>
          <w:ilvl w:val="0"/>
          <w:numId w:val="8"/>
        </w:numPr>
        <w:tabs>
          <w:tab w:val="left" w:pos="0"/>
          <w:tab w:val="left" w:pos="1080"/>
        </w:tabs>
        <w:ind w:left="0" w:firstLine="720"/>
        <w:jc w:val="both"/>
        <w:rPr>
          <w:sz w:val="28"/>
          <w:szCs w:val="28"/>
          <w:lang w:val="it-IT"/>
        </w:rPr>
      </w:pPr>
      <w:r w:rsidRPr="005563C5">
        <w:rPr>
          <w:sz w:val="28"/>
          <w:szCs w:val="28"/>
          <w:lang w:val="it-IT"/>
        </w:rPr>
        <w:t xml:space="preserve">furnizează către </w:t>
      </w:r>
      <w:r w:rsidRPr="005563C5">
        <w:rPr>
          <w:sz w:val="28"/>
          <w:szCs w:val="28"/>
          <w:lang w:val="ro-RO"/>
        </w:rPr>
        <w:t>Institutul Naţional de Statistică</w:t>
      </w:r>
      <w:r w:rsidRPr="005563C5">
        <w:rPr>
          <w:sz w:val="28"/>
          <w:szCs w:val="28"/>
          <w:lang w:val="it-IT"/>
        </w:rPr>
        <w:t xml:space="preserve"> datele şi informaţiile statistice la perioadele şi termenele prevăzute în planul de activitate;</w:t>
      </w:r>
    </w:p>
    <w:p w:rsidR="001D2871" w:rsidRPr="005563C5" w:rsidRDefault="001D2871" w:rsidP="001D2871">
      <w:pPr>
        <w:numPr>
          <w:ilvl w:val="0"/>
          <w:numId w:val="9"/>
        </w:numPr>
        <w:tabs>
          <w:tab w:val="left" w:pos="0"/>
          <w:tab w:val="left" w:pos="1080"/>
        </w:tabs>
        <w:ind w:left="0" w:firstLine="720"/>
        <w:jc w:val="both"/>
        <w:rPr>
          <w:sz w:val="28"/>
          <w:szCs w:val="28"/>
          <w:lang w:val="pt-BR"/>
        </w:rPr>
      </w:pPr>
      <w:r w:rsidRPr="005563C5">
        <w:rPr>
          <w:sz w:val="28"/>
          <w:szCs w:val="28"/>
          <w:lang w:val="pt-BR"/>
        </w:rPr>
        <w:t>informează administraţia public</w:t>
      </w:r>
      <w:r w:rsidRPr="005563C5">
        <w:rPr>
          <w:sz w:val="28"/>
          <w:szCs w:val="28"/>
        </w:rPr>
        <w:sym w:font="Times New Roman" w:char="0103"/>
      </w:r>
      <w:r w:rsidRPr="005563C5">
        <w:rPr>
          <w:sz w:val="28"/>
          <w:szCs w:val="28"/>
          <w:lang w:val="pt-BR"/>
        </w:rPr>
        <w:t xml:space="preserve"> locală asupra evoluţiei principalilor indicatori de dezvoltare economico-socială şi a principalelor aspecte ce caracterizează economia judeţului;</w:t>
      </w:r>
    </w:p>
    <w:p w:rsidR="001D2871" w:rsidRPr="005563C5" w:rsidRDefault="001D2871" w:rsidP="001D2871">
      <w:pPr>
        <w:numPr>
          <w:ilvl w:val="0"/>
          <w:numId w:val="10"/>
        </w:numPr>
        <w:tabs>
          <w:tab w:val="left" w:pos="0"/>
          <w:tab w:val="left" w:pos="1080"/>
        </w:tabs>
        <w:ind w:left="0" w:firstLine="720"/>
        <w:jc w:val="both"/>
        <w:rPr>
          <w:sz w:val="28"/>
          <w:szCs w:val="28"/>
          <w:lang w:val="it-IT"/>
        </w:rPr>
      </w:pPr>
      <w:r w:rsidRPr="005563C5">
        <w:rPr>
          <w:sz w:val="28"/>
          <w:szCs w:val="28"/>
          <w:lang w:val="it-IT"/>
        </w:rPr>
        <w:t xml:space="preserve">prezintă </w:t>
      </w:r>
      <w:r w:rsidRPr="005563C5">
        <w:rPr>
          <w:sz w:val="28"/>
          <w:szCs w:val="28"/>
          <w:lang w:val="ro-RO"/>
        </w:rPr>
        <w:t>Institutului Naţional de Statistică</w:t>
      </w:r>
      <w:r w:rsidRPr="005563C5">
        <w:rPr>
          <w:sz w:val="28"/>
          <w:szCs w:val="28"/>
          <w:lang w:val="it-IT"/>
        </w:rPr>
        <w:t xml:space="preserve"> informări asupra activităţii desfăşurate;</w:t>
      </w:r>
    </w:p>
    <w:p w:rsidR="001D2871" w:rsidRPr="005563C5" w:rsidRDefault="001D2871" w:rsidP="001D2871">
      <w:pPr>
        <w:numPr>
          <w:ilvl w:val="0"/>
          <w:numId w:val="10"/>
        </w:numPr>
        <w:tabs>
          <w:tab w:val="left" w:pos="0"/>
          <w:tab w:val="left" w:pos="1080"/>
        </w:tabs>
        <w:ind w:left="0" w:firstLine="720"/>
        <w:jc w:val="both"/>
        <w:rPr>
          <w:sz w:val="28"/>
          <w:szCs w:val="28"/>
          <w:lang w:val="it-IT"/>
        </w:rPr>
      </w:pPr>
      <w:r w:rsidRPr="005563C5">
        <w:rPr>
          <w:sz w:val="28"/>
          <w:szCs w:val="28"/>
          <w:lang w:val="it-IT"/>
        </w:rPr>
        <w:t xml:space="preserve">editează breviare, buletine </w:t>
      </w:r>
      <w:r w:rsidRPr="005563C5">
        <w:rPr>
          <w:sz w:val="28"/>
          <w:szCs w:val="28"/>
        </w:rPr>
        <w:sym w:font="Times New Roman" w:char="015F"/>
      </w:r>
      <w:r w:rsidRPr="005563C5">
        <w:rPr>
          <w:sz w:val="28"/>
          <w:szCs w:val="28"/>
          <w:lang w:val="it-IT"/>
        </w:rPr>
        <w:t>i alte publica</w:t>
      </w:r>
      <w:r w:rsidRPr="005563C5">
        <w:rPr>
          <w:sz w:val="28"/>
          <w:szCs w:val="28"/>
        </w:rPr>
        <w:sym w:font="Times New Roman" w:char="0163"/>
      </w:r>
      <w:r w:rsidRPr="005563C5">
        <w:rPr>
          <w:sz w:val="28"/>
          <w:szCs w:val="28"/>
          <w:lang w:val="it-IT"/>
        </w:rPr>
        <w:t>ii statistice la nivelul judeţului;</w:t>
      </w:r>
    </w:p>
    <w:p w:rsidR="00695840" w:rsidRDefault="00695840" w:rsidP="00FE23C7">
      <w:pPr>
        <w:ind w:firstLine="720"/>
        <w:jc w:val="both"/>
        <w:rPr>
          <w:sz w:val="28"/>
          <w:szCs w:val="28"/>
          <w:lang w:val="it-IT"/>
        </w:rPr>
      </w:pPr>
    </w:p>
    <w:p w:rsidR="001E3094" w:rsidRPr="005563C5" w:rsidRDefault="001D2871" w:rsidP="00FE23C7">
      <w:pPr>
        <w:ind w:firstLine="720"/>
        <w:jc w:val="both"/>
        <w:rPr>
          <w:sz w:val="28"/>
          <w:szCs w:val="28"/>
          <w:lang w:val="it-IT"/>
        </w:rPr>
      </w:pPr>
      <w:r w:rsidRPr="005563C5">
        <w:rPr>
          <w:sz w:val="28"/>
          <w:szCs w:val="28"/>
          <w:lang w:val="it-IT"/>
        </w:rPr>
        <w:t>Activitățile curente</w:t>
      </w:r>
      <w:r w:rsidR="00FE23C7" w:rsidRPr="005563C5">
        <w:rPr>
          <w:sz w:val="28"/>
          <w:szCs w:val="28"/>
          <w:lang w:val="it-IT"/>
        </w:rPr>
        <w:t xml:space="preserve"> ale Direcției Județene de Statistică Argeș sunt astfel structurate încât să poată fi </w:t>
      </w:r>
      <w:r w:rsidR="001E3094" w:rsidRPr="005563C5">
        <w:rPr>
          <w:sz w:val="28"/>
          <w:szCs w:val="28"/>
          <w:lang w:val="it-IT"/>
        </w:rPr>
        <w:t>îndeplinite obiectivele prevăzute în Programul Statistic Național Anual.</w:t>
      </w:r>
      <w:r w:rsidR="005563C5">
        <w:rPr>
          <w:sz w:val="28"/>
          <w:szCs w:val="28"/>
          <w:lang w:val="it-IT"/>
        </w:rPr>
        <w:t xml:space="preserve"> </w:t>
      </w:r>
    </w:p>
    <w:p w:rsidR="001E3094" w:rsidRPr="005563C5" w:rsidRDefault="001E3094" w:rsidP="00FE23C7">
      <w:pPr>
        <w:ind w:firstLine="720"/>
        <w:jc w:val="both"/>
        <w:rPr>
          <w:sz w:val="28"/>
          <w:szCs w:val="28"/>
          <w:lang w:val="it-IT"/>
        </w:rPr>
      </w:pPr>
    </w:p>
    <w:p w:rsidR="00B809CB" w:rsidRDefault="00B809CB" w:rsidP="00B809CB">
      <w:pPr>
        <w:jc w:val="both"/>
        <w:rPr>
          <w:sz w:val="28"/>
          <w:szCs w:val="28"/>
          <w:lang w:val="ro-RO" w:eastAsia="ro-RO"/>
        </w:rPr>
      </w:pPr>
      <w:r w:rsidRPr="005563C5">
        <w:rPr>
          <w:b/>
          <w:sz w:val="28"/>
          <w:szCs w:val="28"/>
          <w:lang w:val="ro-RO"/>
        </w:rPr>
        <w:t>a) Activitatea de culegere, prelucrare şi validare a datelor</w:t>
      </w:r>
      <w:r w:rsidRPr="005563C5">
        <w:rPr>
          <w:sz w:val="28"/>
          <w:szCs w:val="28"/>
          <w:lang w:val="ro-RO"/>
        </w:rPr>
        <w:t xml:space="preserve"> – presupune c</w:t>
      </w:r>
      <w:r w:rsidRPr="005563C5">
        <w:rPr>
          <w:sz w:val="28"/>
          <w:szCs w:val="28"/>
          <w:lang w:val="ro-RO" w:eastAsia="ro-RO"/>
        </w:rPr>
        <w:t>olectarea, procesarea, validarea şi transmiterea datelor pentru cercetările statistice conform</w:t>
      </w:r>
    </w:p>
    <w:p w:rsidR="00B809CB" w:rsidRDefault="00B809CB" w:rsidP="00B809CB">
      <w:pPr>
        <w:jc w:val="both"/>
        <w:rPr>
          <w:sz w:val="28"/>
          <w:szCs w:val="28"/>
          <w:lang w:val="ro-RO" w:eastAsia="ro-RO"/>
        </w:rPr>
      </w:pPr>
      <w:r w:rsidRPr="005563C5">
        <w:rPr>
          <w:sz w:val="28"/>
          <w:szCs w:val="28"/>
          <w:lang w:val="ro-RO" w:eastAsia="ro-RO"/>
        </w:rPr>
        <w:t xml:space="preserve"> </w:t>
      </w:r>
    </w:p>
    <w:p w:rsidR="00B809CB" w:rsidRPr="005563C5" w:rsidRDefault="00B809CB" w:rsidP="00B809CB">
      <w:pPr>
        <w:jc w:val="both"/>
        <w:rPr>
          <w:b/>
          <w:sz w:val="28"/>
          <w:szCs w:val="28"/>
          <w:lang w:val="ro-RO"/>
        </w:rPr>
      </w:pPr>
      <w:r w:rsidRPr="005563C5">
        <w:rPr>
          <w:sz w:val="28"/>
          <w:szCs w:val="28"/>
          <w:lang w:val="ro-RO" w:eastAsia="ro-RO"/>
        </w:rPr>
        <w:t>graficului cercetărilor statistice anuale şi infraanuale, în următoarele domenii:</w:t>
      </w:r>
    </w:p>
    <w:p w:rsidR="00B809CB" w:rsidRPr="00695840" w:rsidRDefault="00B809CB" w:rsidP="00B809CB">
      <w:pPr>
        <w:pStyle w:val="ListParagraph"/>
        <w:numPr>
          <w:ilvl w:val="0"/>
          <w:numId w:val="20"/>
        </w:numPr>
        <w:ind w:left="2410"/>
        <w:jc w:val="both"/>
        <w:rPr>
          <w:sz w:val="28"/>
          <w:szCs w:val="28"/>
          <w:lang w:val="ro-RO" w:eastAsia="ro-RO"/>
        </w:rPr>
      </w:pPr>
      <w:r w:rsidRPr="00695840">
        <w:rPr>
          <w:sz w:val="28"/>
          <w:szCs w:val="28"/>
          <w:lang w:val="ro-RO" w:eastAsia="ro-RO"/>
        </w:rPr>
        <w:t>agricultură, silvicultură, mediu;</w:t>
      </w:r>
    </w:p>
    <w:p w:rsidR="00B809CB" w:rsidRPr="00695840" w:rsidRDefault="00B809CB" w:rsidP="00B809CB">
      <w:pPr>
        <w:pStyle w:val="ListParagraph"/>
        <w:numPr>
          <w:ilvl w:val="0"/>
          <w:numId w:val="20"/>
        </w:numPr>
        <w:ind w:left="2410"/>
        <w:rPr>
          <w:sz w:val="28"/>
          <w:szCs w:val="28"/>
        </w:rPr>
      </w:pPr>
      <w:r w:rsidRPr="00695840">
        <w:rPr>
          <w:sz w:val="28"/>
          <w:szCs w:val="28"/>
        </w:rPr>
        <w:t>industrie, investiţii, construcţii;</w:t>
      </w:r>
    </w:p>
    <w:p w:rsidR="00B809CB" w:rsidRPr="00695840" w:rsidRDefault="00B809CB" w:rsidP="00B809CB">
      <w:pPr>
        <w:pStyle w:val="ListParagraph"/>
        <w:numPr>
          <w:ilvl w:val="0"/>
          <w:numId w:val="20"/>
        </w:numPr>
        <w:ind w:left="2410"/>
        <w:rPr>
          <w:sz w:val="28"/>
          <w:szCs w:val="28"/>
        </w:rPr>
      </w:pPr>
      <w:r w:rsidRPr="00695840">
        <w:rPr>
          <w:sz w:val="28"/>
          <w:szCs w:val="28"/>
        </w:rPr>
        <w:t>comerţ interior şi exterior;</w:t>
      </w:r>
    </w:p>
    <w:p w:rsidR="00B809CB" w:rsidRPr="00695840" w:rsidRDefault="00B809CB" w:rsidP="00B809CB">
      <w:pPr>
        <w:pStyle w:val="ListParagraph"/>
        <w:numPr>
          <w:ilvl w:val="0"/>
          <w:numId w:val="20"/>
        </w:numPr>
        <w:ind w:left="2410"/>
        <w:rPr>
          <w:sz w:val="28"/>
          <w:szCs w:val="28"/>
        </w:rPr>
      </w:pPr>
      <w:r w:rsidRPr="00695840">
        <w:rPr>
          <w:sz w:val="28"/>
          <w:szCs w:val="28"/>
        </w:rPr>
        <w:t>turism, transporturi;</w:t>
      </w:r>
    </w:p>
    <w:p w:rsidR="00B809CB" w:rsidRPr="00695840" w:rsidRDefault="00B809CB" w:rsidP="00B809CB">
      <w:pPr>
        <w:pStyle w:val="ListParagraph"/>
        <w:numPr>
          <w:ilvl w:val="0"/>
          <w:numId w:val="20"/>
        </w:numPr>
        <w:ind w:left="2410"/>
        <w:rPr>
          <w:sz w:val="28"/>
          <w:szCs w:val="28"/>
        </w:rPr>
      </w:pPr>
      <w:r w:rsidRPr="00695840">
        <w:rPr>
          <w:sz w:val="28"/>
          <w:szCs w:val="28"/>
        </w:rPr>
        <w:t>cercetare-dezvoltare, inovare;</w:t>
      </w:r>
    </w:p>
    <w:p w:rsidR="00B809CB" w:rsidRPr="00695840" w:rsidRDefault="00B809CB" w:rsidP="00B809CB">
      <w:pPr>
        <w:pStyle w:val="ListParagraph"/>
        <w:numPr>
          <w:ilvl w:val="0"/>
          <w:numId w:val="20"/>
        </w:numPr>
        <w:ind w:left="2410"/>
        <w:rPr>
          <w:sz w:val="28"/>
          <w:szCs w:val="28"/>
        </w:rPr>
      </w:pPr>
      <w:r w:rsidRPr="00695840">
        <w:rPr>
          <w:sz w:val="28"/>
          <w:szCs w:val="28"/>
        </w:rPr>
        <w:t>demografie, piaţa muncii;</w:t>
      </w:r>
    </w:p>
    <w:p w:rsidR="00B809CB" w:rsidRPr="00695840" w:rsidRDefault="00B809CB" w:rsidP="00B809CB">
      <w:pPr>
        <w:pStyle w:val="ListParagraph"/>
        <w:numPr>
          <w:ilvl w:val="0"/>
          <w:numId w:val="20"/>
        </w:numPr>
        <w:ind w:left="2410"/>
        <w:rPr>
          <w:sz w:val="28"/>
          <w:szCs w:val="28"/>
        </w:rPr>
      </w:pPr>
      <w:r w:rsidRPr="00695840">
        <w:rPr>
          <w:sz w:val="28"/>
          <w:szCs w:val="28"/>
        </w:rPr>
        <w:t>nivel de trai, calitatea vieţii;</w:t>
      </w:r>
    </w:p>
    <w:p w:rsidR="00B809CB" w:rsidRPr="00695840" w:rsidRDefault="00B809CB" w:rsidP="00B809CB">
      <w:pPr>
        <w:pStyle w:val="ListParagraph"/>
        <w:numPr>
          <w:ilvl w:val="0"/>
          <w:numId w:val="20"/>
        </w:numPr>
        <w:ind w:left="2410"/>
        <w:rPr>
          <w:sz w:val="28"/>
          <w:szCs w:val="28"/>
        </w:rPr>
      </w:pPr>
      <w:r w:rsidRPr="00695840">
        <w:rPr>
          <w:sz w:val="28"/>
          <w:szCs w:val="28"/>
        </w:rPr>
        <w:t>educaţie, cultură;</w:t>
      </w:r>
    </w:p>
    <w:p w:rsidR="00B809CB" w:rsidRPr="00695840" w:rsidRDefault="00B809CB" w:rsidP="00B809CB">
      <w:pPr>
        <w:pStyle w:val="ListParagraph"/>
        <w:numPr>
          <w:ilvl w:val="0"/>
          <w:numId w:val="20"/>
        </w:numPr>
        <w:ind w:left="2410"/>
        <w:jc w:val="both"/>
        <w:rPr>
          <w:sz w:val="28"/>
          <w:szCs w:val="28"/>
          <w:lang w:val="ro-RO"/>
        </w:rPr>
      </w:pPr>
      <w:r w:rsidRPr="00695840">
        <w:rPr>
          <w:sz w:val="28"/>
          <w:szCs w:val="28"/>
        </w:rPr>
        <w:t>sănătate s.a.</w:t>
      </w:r>
    </w:p>
    <w:p w:rsidR="00B809CB" w:rsidRDefault="00B809CB" w:rsidP="00B809CB">
      <w:pPr>
        <w:ind w:firstLine="840"/>
        <w:jc w:val="both"/>
        <w:rPr>
          <w:sz w:val="28"/>
          <w:szCs w:val="28"/>
          <w:lang w:val="ro-RO"/>
        </w:rPr>
      </w:pPr>
    </w:p>
    <w:p w:rsidR="00B809CB" w:rsidRPr="00701642" w:rsidRDefault="00B809CB" w:rsidP="00B809CB">
      <w:pPr>
        <w:ind w:firstLine="840"/>
        <w:jc w:val="both"/>
        <w:rPr>
          <w:sz w:val="28"/>
          <w:szCs w:val="28"/>
          <w:lang w:val="ro-RO"/>
        </w:rPr>
      </w:pPr>
      <w:r w:rsidRPr="00197E75">
        <w:rPr>
          <w:sz w:val="28"/>
          <w:szCs w:val="28"/>
          <w:lang w:val="ro-RO"/>
        </w:rPr>
        <w:lastRenderedPageBreak/>
        <w:t>Direcţia Judeţeană de Statistică Argeş a efectuat în anul 20</w:t>
      </w:r>
      <w:r>
        <w:rPr>
          <w:sz w:val="28"/>
          <w:szCs w:val="28"/>
          <w:lang w:val="ro-RO"/>
        </w:rPr>
        <w:t>21</w:t>
      </w:r>
      <w:r w:rsidRPr="00197E75">
        <w:rPr>
          <w:sz w:val="28"/>
          <w:szCs w:val="28"/>
          <w:lang w:val="ro-RO"/>
        </w:rPr>
        <w:t xml:space="preserve">, în conformitate cu prevederile Programului Statistic Național, </w:t>
      </w:r>
      <w:r w:rsidRPr="00701642">
        <w:rPr>
          <w:sz w:val="28"/>
          <w:szCs w:val="28"/>
          <w:lang w:val="ro-RO"/>
        </w:rPr>
        <w:t xml:space="preserve">peste 100 de cercetări statistice, dintre                    care </w:t>
      </w:r>
      <w:r>
        <w:rPr>
          <w:sz w:val="28"/>
          <w:szCs w:val="28"/>
          <w:lang w:val="ro-RO"/>
        </w:rPr>
        <w:t>59</w:t>
      </w:r>
      <w:r w:rsidRPr="00701642">
        <w:rPr>
          <w:sz w:val="28"/>
          <w:szCs w:val="28"/>
          <w:lang w:val="ro-RO"/>
        </w:rPr>
        <w:t xml:space="preserve"> sunt cercetări statistice anuale, restul fiind cercetări statistice infraanuale (respectiv decadale, lunare, trimestriale şi semestriale), din totalul cercetărilor statistice infraanuale, peste 50,0% având periodicitate lunară.</w:t>
      </w:r>
    </w:p>
    <w:p w:rsidR="00B809CB" w:rsidRPr="00F9637E" w:rsidRDefault="00B809CB" w:rsidP="00B809CB">
      <w:pPr>
        <w:ind w:firstLine="840"/>
        <w:jc w:val="both"/>
        <w:rPr>
          <w:color w:val="FF0000"/>
          <w:sz w:val="28"/>
          <w:szCs w:val="28"/>
          <w:lang w:val="ro-RO"/>
        </w:rPr>
      </w:pPr>
      <w:r w:rsidRPr="00701642">
        <w:rPr>
          <w:sz w:val="28"/>
          <w:szCs w:val="28"/>
          <w:lang w:val="ro-RO"/>
        </w:rPr>
        <w:t xml:space="preserve">Volumul de resurse umane consumat pentru realizarea în bune condiţii a acestei activităţi a fost de </w:t>
      </w:r>
      <w:r>
        <w:rPr>
          <w:sz w:val="28"/>
          <w:szCs w:val="28"/>
          <w:lang w:val="ro-RO"/>
        </w:rPr>
        <w:t>79536</w:t>
      </w:r>
      <w:r w:rsidRPr="00962B24">
        <w:rPr>
          <w:sz w:val="28"/>
          <w:szCs w:val="28"/>
          <w:lang w:val="ro-RO"/>
        </w:rPr>
        <w:t xml:space="preserve"> </w:t>
      </w:r>
      <w:r w:rsidRPr="00701642">
        <w:rPr>
          <w:sz w:val="28"/>
          <w:szCs w:val="28"/>
          <w:lang w:val="ro-RO"/>
        </w:rPr>
        <w:t xml:space="preserve">om-ore (inclusiv timpul alocat pentru realizarea activităţilor financiar-contabile şi administrativ-gospodăreşti) pentru personalul propriu angajat al Direcției Județene de Statistică Argeș. Dintre acestea </w:t>
      </w:r>
      <w:r w:rsidRPr="00962B24">
        <w:rPr>
          <w:sz w:val="28"/>
          <w:szCs w:val="28"/>
          <w:lang w:val="ro-RO"/>
        </w:rPr>
        <w:t>11096</w:t>
      </w:r>
      <w:r w:rsidRPr="00701642">
        <w:rPr>
          <w:sz w:val="28"/>
          <w:szCs w:val="28"/>
          <w:lang w:val="ro-RO"/>
        </w:rPr>
        <w:t xml:space="preserve"> </w:t>
      </w:r>
      <w:r>
        <w:rPr>
          <w:sz w:val="28"/>
          <w:szCs w:val="28"/>
          <w:lang w:val="ro-RO"/>
        </w:rPr>
        <w:t xml:space="preserve">ore </w:t>
      </w:r>
      <w:r w:rsidRPr="00701642">
        <w:rPr>
          <w:sz w:val="28"/>
          <w:szCs w:val="28"/>
          <w:lang w:val="ro-RO"/>
        </w:rPr>
        <w:t>au fost realizate de personalul contractual angajat pentru lucrările de pregătire, organizare și desfășurare a Recensământului General Agricol 2021</w:t>
      </w:r>
      <w:r>
        <w:rPr>
          <w:sz w:val="28"/>
          <w:szCs w:val="28"/>
          <w:lang w:val="ro-RO"/>
        </w:rPr>
        <w:t xml:space="preserve">, iar un număr de </w:t>
      </w:r>
      <w:r w:rsidRPr="00962B24">
        <w:rPr>
          <w:sz w:val="28"/>
          <w:szCs w:val="28"/>
          <w:lang w:val="ro-RO"/>
        </w:rPr>
        <w:t>16048 ore</w:t>
      </w:r>
      <w:r>
        <w:rPr>
          <w:sz w:val="28"/>
          <w:szCs w:val="28"/>
          <w:lang w:val="ro-RO"/>
        </w:rPr>
        <w:t xml:space="preserve"> a fost realizat de personalul contractual angajat </w:t>
      </w:r>
      <w:r w:rsidRPr="00701642">
        <w:rPr>
          <w:sz w:val="28"/>
          <w:szCs w:val="28"/>
          <w:lang w:val="ro-RO"/>
        </w:rPr>
        <w:t>pentru lucrările de pregătire, organizare și desfășurare a Recensământului</w:t>
      </w:r>
      <w:r>
        <w:rPr>
          <w:sz w:val="28"/>
          <w:szCs w:val="28"/>
          <w:lang w:val="ro-RO"/>
        </w:rPr>
        <w:t xml:space="preserve"> Populației și Locuințelor 2021.</w:t>
      </w:r>
      <w:r w:rsidRPr="00F9637E">
        <w:rPr>
          <w:color w:val="FF0000"/>
          <w:sz w:val="28"/>
          <w:szCs w:val="28"/>
          <w:lang w:val="ro-RO"/>
        </w:rPr>
        <w:t xml:space="preserve"> </w:t>
      </w:r>
    </w:p>
    <w:p w:rsidR="00B809CB" w:rsidRPr="005563C5" w:rsidRDefault="00B809CB" w:rsidP="00B809CB">
      <w:pPr>
        <w:ind w:left="840"/>
        <w:jc w:val="both"/>
        <w:rPr>
          <w:b/>
          <w:sz w:val="28"/>
          <w:szCs w:val="28"/>
          <w:lang w:val="ro-RO"/>
        </w:rPr>
      </w:pPr>
    </w:p>
    <w:p w:rsidR="00B809CB" w:rsidRPr="005563C5" w:rsidRDefault="00B809CB" w:rsidP="00B809CB">
      <w:pPr>
        <w:pStyle w:val="ListParagraph"/>
        <w:numPr>
          <w:ilvl w:val="0"/>
          <w:numId w:val="12"/>
        </w:numPr>
        <w:jc w:val="both"/>
        <w:rPr>
          <w:b/>
          <w:sz w:val="28"/>
          <w:szCs w:val="28"/>
          <w:lang w:val="ro-RO"/>
        </w:rPr>
      </w:pPr>
      <w:r w:rsidRPr="005563C5">
        <w:rPr>
          <w:b/>
          <w:sz w:val="28"/>
          <w:szCs w:val="28"/>
          <w:lang w:val="ro-RO"/>
        </w:rPr>
        <w:t>Activitatea de întreţinere, administrare baze de date</w:t>
      </w:r>
    </w:p>
    <w:p w:rsidR="00B809CB" w:rsidRPr="005563C5" w:rsidRDefault="00B809CB" w:rsidP="00B809CB">
      <w:pPr>
        <w:ind w:firstLine="840"/>
        <w:jc w:val="both"/>
        <w:rPr>
          <w:sz w:val="28"/>
          <w:szCs w:val="28"/>
          <w:lang w:val="ro-RO"/>
        </w:rPr>
      </w:pPr>
      <w:r w:rsidRPr="005563C5">
        <w:rPr>
          <w:sz w:val="28"/>
          <w:szCs w:val="28"/>
          <w:lang w:val="ro-RO"/>
        </w:rPr>
        <w:t>Bazele de date existente la nivelul judeţului acoperă o gamă largă de indicatori din domeniul economic şi social. La nivelul localităţilor, bazele de date cuprind indicatori privind echiparea teritoriului, populaţia, forţa de muncă, învăţământul, cultura şi arta, ocrotirea sănătăţii, agricultura, construcţiile de locuinţe, activitatea de poştă şi telecomunicaţii, turismul.</w:t>
      </w:r>
    </w:p>
    <w:p w:rsidR="00B809CB" w:rsidRPr="005563C5" w:rsidRDefault="00B809CB" w:rsidP="00B809CB">
      <w:pPr>
        <w:ind w:firstLine="840"/>
        <w:jc w:val="both"/>
        <w:rPr>
          <w:sz w:val="28"/>
          <w:szCs w:val="28"/>
          <w:lang w:val="ro-RO"/>
        </w:rPr>
      </w:pPr>
      <w:r w:rsidRPr="005563C5">
        <w:rPr>
          <w:sz w:val="28"/>
          <w:szCs w:val="28"/>
          <w:lang w:val="ro-RO"/>
        </w:rPr>
        <w:t>Există însă şi o serie de indicatori de interes care nu pot fi defalcaţi la nivel de localitate, cum ar fi: câştigul salarial, indicatorii din statisticile pe termen scurt (producţia fizică industrială, contracte/comenzi, cifră de afaceri din industrie, comerţ, construcţii servicii), ca urmare a faptului că eşantioanele folosite pentru realizarea anchetelor statistice din aceste domenii au reprezentativitate doar la nivel naţional.</w:t>
      </w:r>
    </w:p>
    <w:p w:rsidR="00B809CB" w:rsidRPr="005563C5" w:rsidRDefault="00B809CB" w:rsidP="00B809CB">
      <w:pPr>
        <w:ind w:left="840"/>
        <w:jc w:val="both"/>
        <w:rPr>
          <w:b/>
          <w:sz w:val="28"/>
          <w:szCs w:val="28"/>
          <w:lang w:val="ro-RO"/>
        </w:rPr>
      </w:pPr>
    </w:p>
    <w:p w:rsidR="00B809CB" w:rsidRPr="005563C5" w:rsidRDefault="00B809CB" w:rsidP="00B809CB">
      <w:pPr>
        <w:pStyle w:val="ListParagraph"/>
        <w:numPr>
          <w:ilvl w:val="0"/>
          <w:numId w:val="12"/>
        </w:numPr>
        <w:jc w:val="both"/>
        <w:rPr>
          <w:b/>
          <w:sz w:val="28"/>
          <w:szCs w:val="28"/>
          <w:lang w:val="ro-RO"/>
        </w:rPr>
      </w:pPr>
      <w:r w:rsidRPr="005563C5">
        <w:rPr>
          <w:b/>
          <w:sz w:val="28"/>
          <w:szCs w:val="28"/>
          <w:lang w:val="ro-RO"/>
        </w:rPr>
        <w:t>Activitatea de diseminare a datelor statistice</w:t>
      </w:r>
    </w:p>
    <w:p w:rsidR="00B809CB" w:rsidRDefault="00B809CB" w:rsidP="00B809CB">
      <w:pPr>
        <w:ind w:firstLine="840"/>
        <w:jc w:val="both"/>
        <w:rPr>
          <w:sz w:val="28"/>
          <w:szCs w:val="28"/>
          <w:lang w:val="ro-RO"/>
        </w:rPr>
      </w:pPr>
    </w:p>
    <w:p w:rsidR="00B809CB" w:rsidRPr="007561A5" w:rsidRDefault="00B809CB" w:rsidP="00B809CB">
      <w:pPr>
        <w:ind w:firstLine="840"/>
        <w:jc w:val="both"/>
        <w:rPr>
          <w:sz w:val="28"/>
          <w:szCs w:val="28"/>
          <w:lang w:val="ro-RO"/>
        </w:rPr>
      </w:pPr>
      <w:r w:rsidRPr="007561A5">
        <w:rPr>
          <w:sz w:val="28"/>
          <w:szCs w:val="28"/>
          <w:lang w:val="ro-RO"/>
        </w:rPr>
        <w:t>În activitatea de diseminare a datelor statistice desfăşurată de Direcţia Judeţeană de Statistică Argeş o atenţie deosebită s-a acordat creşterii operativităţii şi acurateţei în formularea răspunsurilor date utilizatorilor, concomitent cu asigurarea calităţii şi confidenţialităţii informaţiilor şi datelor statistice furnizate.</w:t>
      </w:r>
    </w:p>
    <w:p w:rsidR="00B809CB" w:rsidRPr="007561A5" w:rsidRDefault="00B809CB" w:rsidP="00B809CB">
      <w:pPr>
        <w:ind w:firstLine="840"/>
        <w:jc w:val="both"/>
        <w:rPr>
          <w:sz w:val="28"/>
          <w:szCs w:val="28"/>
          <w:lang w:val="ro-RO"/>
        </w:rPr>
      </w:pPr>
      <w:r w:rsidRPr="007561A5">
        <w:rPr>
          <w:sz w:val="28"/>
          <w:szCs w:val="28"/>
          <w:lang w:val="ro-RO"/>
        </w:rPr>
        <w:t>Activitatea de diseminare a constat în difuzarea de  informaţii şi date statistice, cu periodicitate sau la cerere, către instituţiile administraţiei publice locale, instituţiile deconcentrate ale statului, către mass-media şi publicul obişnuit, către personalul din învăţământ (cadre didactice, studenţi, elevi) şi cercetare ştiinţifică, către mediul de afaceri, societatea civilă etc. Diseminarea informaţiilor statistice s-a realizat cu respectarea principiilor transparenţei şi confidenţialităţii, în condiţii de egalitate pentru toţi utilizatorii şi în conformitate cu legile de organizare şi funcţionare a statisticii oficiale din România.</w:t>
      </w:r>
    </w:p>
    <w:p w:rsidR="00B809CB" w:rsidRPr="007561A5" w:rsidRDefault="00B809CB" w:rsidP="00B809CB">
      <w:pPr>
        <w:ind w:firstLine="840"/>
        <w:jc w:val="both"/>
        <w:rPr>
          <w:sz w:val="28"/>
          <w:szCs w:val="28"/>
          <w:lang w:val="ro-RO"/>
        </w:rPr>
      </w:pPr>
      <w:r w:rsidRPr="007561A5">
        <w:rPr>
          <w:sz w:val="28"/>
          <w:szCs w:val="28"/>
          <w:lang w:val="ro-RO"/>
        </w:rPr>
        <w:t>În anul 2021 s-a răspuns operativ solicitărilor de date vizând cel mai frecvent populaţia pe unităţi administrativ teritoriale, şomajul, numărul de salariați și pensionari, câştigurile salariale, inflaţie, turism - solicitări scrise dar, mai ales telefonice. Astfel, la nivelul direcţiei noastre, au fost înregistrate 243 solicitări de date de la diverşi utilizatori, ponderea cea mai mare revenind persoanelor juridice, cu peste 59.7% dintre aceste solicitări.</w:t>
      </w:r>
    </w:p>
    <w:p w:rsidR="00B809CB" w:rsidRPr="007561A5" w:rsidRDefault="00B809CB" w:rsidP="00B809CB">
      <w:pPr>
        <w:ind w:firstLine="840"/>
        <w:jc w:val="both"/>
        <w:rPr>
          <w:sz w:val="28"/>
          <w:szCs w:val="28"/>
          <w:lang w:val="ro-RO"/>
        </w:rPr>
      </w:pPr>
      <w:r w:rsidRPr="007561A5">
        <w:rPr>
          <w:sz w:val="28"/>
          <w:szCs w:val="28"/>
          <w:lang w:val="ro-RO"/>
        </w:rPr>
        <w:lastRenderedPageBreak/>
        <w:t>Solicitările au vizat date din diverse domenii de activitate, grupate astfel: preţuri şi inflaţie, forţă de muncă şi salarii, populaţie şi demografie, turism, sănătate, învăţământ, cultură şi artă, construcţii .</w:t>
      </w:r>
    </w:p>
    <w:p w:rsidR="00B809CB" w:rsidRPr="007561A5" w:rsidRDefault="00B809CB" w:rsidP="00B809CB">
      <w:pPr>
        <w:ind w:firstLine="840"/>
        <w:jc w:val="both"/>
        <w:rPr>
          <w:sz w:val="28"/>
          <w:szCs w:val="28"/>
          <w:lang w:val="ro-RO"/>
        </w:rPr>
      </w:pPr>
      <w:r w:rsidRPr="007561A5">
        <w:rPr>
          <w:sz w:val="28"/>
          <w:szCs w:val="28"/>
          <w:lang w:val="ro-RO"/>
        </w:rPr>
        <w:t>Solicitările de date au fost rezolvate fie prin răspuns direct (solicitări telefonice), prin răspuns scris (comunicarea făcându-se electronic – pentru 15,6% din solicitări - sau pe suport de hârtie), fie prin asigurarea accesului direct al utilizatorilor la datele statistice din publicaţiile Institutului Naţional de Statistică sau realizate de direcţia noastră, acordând totodată tuturor solicitanţilor şi consultanţa necesară. Solicitanţii de date au fost îndrumaţi, pentru obţinerea facilă şi rapidă a unor date, să consulte site-urile Direcţiei Judeţene de Statistică Argeş şi al Institutului Naţional de Statistică.</w:t>
      </w:r>
    </w:p>
    <w:p w:rsidR="00B809CB" w:rsidRPr="007561A5" w:rsidRDefault="00B809CB" w:rsidP="00B809CB">
      <w:pPr>
        <w:ind w:firstLine="840"/>
        <w:jc w:val="both"/>
        <w:rPr>
          <w:sz w:val="28"/>
          <w:szCs w:val="28"/>
          <w:lang w:val="ro-RO"/>
        </w:rPr>
      </w:pPr>
      <w:r w:rsidRPr="007561A5">
        <w:rPr>
          <w:sz w:val="28"/>
          <w:szCs w:val="28"/>
          <w:lang w:val="ro-RO"/>
        </w:rPr>
        <w:t>Un rol important în procesul de diseminare a datelor statistice a avut şi are actualizarea conţinutului site-ului cu ultimele comunicate de presă, cu principalii indicatori economico-sociali, actualizarea pe domenii şi subdomenii de activitate.</w:t>
      </w:r>
    </w:p>
    <w:p w:rsidR="00B809CB" w:rsidRPr="007561A5" w:rsidRDefault="00B809CB" w:rsidP="00B809CB">
      <w:pPr>
        <w:ind w:firstLine="720"/>
        <w:jc w:val="both"/>
        <w:rPr>
          <w:sz w:val="28"/>
          <w:szCs w:val="28"/>
          <w:lang w:val="it-IT"/>
        </w:rPr>
      </w:pPr>
      <w:r w:rsidRPr="007561A5">
        <w:rPr>
          <w:sz w:val="28"/>
          <w:szCs w:val="28"/>
          <w:lang w:val="ro-RO"/>
        </w:rPr>
        <w:t>În anul 2021 relaţiile direcţiei noastre cu mass-media s-au îmbunătăţit,         realizându-se o informare promptă şi transparentă a opiniei publice prin intermediul comunicatelor de presă referitoare la evoluţia principalilor indicatori economico-sociali, a inflaţiei şi a câştigului salarial. Prin prezentarea de materiale de presă la diverse evenimente sociale și culturale, la simpozioane, mese rotunde, întâlniri de lucru și alte evenimente, precum și prin participarea reprezentanților instituției în cadrul emisiunilor televizate, interviuri scrise sau la posturi de radio s-a asigurat completarea și explicitarea diferitelor categorii de informații difuzate prin intermediul comunicatelor de presă periodice.</w:t>
      </w:r>
    </w:p>
    <w:p w:rsidR="00B809CB" w:rsidRPr="007561A5" w:rsidRDefault="00B809CB" w:rsidP="00B809CB">
      <w:pPr>
        <w:ind w:firstLine="720"/>
        <w:jc w:val="both"/>
        <w:rPr>
          <w:sz w:val="28"/>
          <w:szCs w:val="28"/>
          <w:lang w:val="ro-RO" w:eastAsia="ro-RO"/>
        </w:rPr>
      </w:pPr>
      <w:r w:rsidRPr="007561A5">
        <w:rPr>
          <w:sz w:val="28"/>
          <w:szCs w:val="28"/>
          <w:lang w:val="it-IT"/>
        </w:rPr>
        <w:t xml:space="preserve">Pentru perioada următoare, în plus față de activitățile efectuate în conformitate cu </w:t>
      </w:r>
      <w:r w:rsidRPr="007561A5">
        <w:rPr>
          <w:sz w:val="28"/>
          <w:szCs w:val="28"/>
          <w:lang w:val="ro-RO" w:eastAsia="ro-RO"/>
        </w:rPr>
        <w:t>graficul cercetărilor statistice anuale şi infraanuale, la nivelul Direcției Județene de Statistică Argeș vor fi desfășurate și activități în vederea realizării Recensământului Populației și Locuințelor 2021, în conformitate cu cadrul legal aplicabil.</w:t>
      </w:r>
    </w:p>
    <w:p w:rsidR="00B809CB" w:rsidRDefault="00B809CB" w:rsidP="00B809CB">
      <w:pPr>
        <w:ind w:firstLine="720"/>
        <w:jc w:val="both"/>
        <w:rPr>
          <w:sz w:val="28"/>
          <w:szCs w:val="28"/>
          <w:lang w:val="ro-RO" w:eastAsia="ro-RO"/>
        </w:rPr>
      </w:pPr>
    </w:p>
    <w:p w:rsidR="00B809CB" w:rsidRDefault="00B809CB" w:rsidP="00B809CB">
      <w:pPr>
        <w:ind w:firstLine="720"/>
        <w:jc w:val="both"/>
        <w:rPr>
          <w:sz w:val="28"/>
          <w:szCs w:val="28"/>
          <w:lang w:val="ro-RO" w:eastAsia="ro-RO"/>
        </w:rPr>
      </w:pPr>
    </w:p>
    <w:p w:rsidR="00B809CB" w:rsidRPr="00D85193" w:rsidRDefault="00B809CB" w:rsidP="00B809CB">
      <w:pPr>
        <w:ind w:firstLine="720"/>
        <w:jc w:val="both"/>
        <w:rPr>
          <w:sz w:val="28"/>
          <w:szCs w:val="28"/>
          <w:lang w:val="it-IT"/>
        </w:rPr>
      </w:pPr>
    </w:p>
    <w:p w:rsidR="00B809CB" w:rsidRDefault="00B809CB" w:rsidP="00B809CB">
      <w:pPr>
        <w:ind w:firstLine="720"/>
        <w:jc w:val="both"/>
        <w:rPr>
          <w:sz w:val="28"/>
          <w:szCs w:val="28"/>
          <w:lang w:val="it-IT"/>
        </w:rPr>
      </w:pPr>
    </w:p>
    <w:p w:rsidR="00B809CB" w:rsidRDefault="00B809CB" w:rsidP="00B809CB">
      <w:pPr>
        <w:ind w:firstLine="720"/>
        <w:jc w:val="both"/>
        <w:rPr>
          <w:sz w:val="28"/>
          <w:szCs w:val="28"/>
          <w:lang w:val="it-IT"/>
        </w:rPr>
      </w:pPr>
    </w:p>
    <w:p w:rsidR="00B809CB" w:rsidRDefault="00B809CB" w:rsidP="00B809CB">
      <w:pPr>
        <w:ind w:firstLine="720"/>
        <w:jc w:val="both"/>
        <w:rPr>
          <w:sz w:val="28"/>
          <w:szCs w:val="28"/>
          <w:lang w:val="it-IT"/>
        </w:rPr>
      </w:pPr>
    </w:p>
    <w:p w:rsidR="00B809CB" w:rsidRDefault="00B809CB" w:rsidP="00B809CB">
      <w:pPr>
        <w:ind w:firstLine="720"/>
        <w:jc w:val="both"/>
        <w:rPr>
          <w:sz w:val="28"/>
          <w:szCs w:val="28"/>
          <w:lang w:val="it-IT"/>
        </w:rPr>
      </w:pPr>
    </w:p>
    <w:p w:rsidR="00B809CB" w:rsidRDefault="00B809CB" w:rsidP="00B809CB">
      <w:pPr>
        <w:ind w:firstLine="720"/>
        <w:jc w:val="both"/>
        <w:rPr>
          <w:sz w:val="28"/>
          <w:szCs w:val="28"/>
          <w:lang w:val="it-IT"/>
        </w:rPr>
      </w:pPr>
    </w:p>
    <w:p w:rsidR="00B809CB" w:rsidRDefault="00B809CB" w:rsidP="00B809CB">
      <w:pPr>
        <w:ind w:firstLine="720"/>
        <w:jc w:val="both"/>
        <w:rPr>
          <w:sz w:val="28"/>
          <w:szCs w:val="28"/>
          <w:lang w:val="it-IT"/>
        </w:rPr>
      </w:pPr>
    </w:p>
    <w:p w:rsidR="00B809CB" w:rsidRDefault="00B809CB" w:rsidP="00B809CB">
      <w:pPr>
        <w:ind w:firstLine="720"/>
        <w:jc w:val="both"/>
        <w:rPr>
          <w:sz w:val="28"/>
          <w:szCs w:val="28"/>
          <w:lang w:val="it-IT"/>
        </w:rPr>
      </w:pPr>
    </w:p>
    <w:p w:rsidR="00B809CB" w:rsidRPr="005563C5" w:rsidRDefault="00B809CB" w:rsidP="00B809CB">
      <w:pPr>
        <w:ind w:firstLine="720"/>
        <w:jc w:val="both"/>
        <w:rPr>
          <w:sz w:val="28"/>
          <w:szCs w:val="28"/>
          <w:lang w:val="it-IT"/>
        </w:rPr>
      </w:pPr>
    </w:p>
    <w:p w:rsidR="00B809CB" w:rsidRDefault="00B809CB" w:rsidP="00B809CB">
      <w:pPr>
        <w:jc w:val="both"/>
        <w:rPr>
          <w:b/>
          <w:sz w:val="28"/>
          <w:szCs w:val="28"/>
        </w:rPr>
      </w:pPr>
    </w:p>
    <w:p w:rsidR="00B809CB" w:rsidRPr="005563C5" w:rsidRDefault="00B809CB" w:rsidP="00B809CB">
      <w:pPr>
        <w:jc w:val="both"/>
        <w:rPr>
          <w:sz w:val="28"/>
          <w:szCs w:val="28"/>
          <w:lang w:val="it-IT"/>
        </w:rPr>
      </w:pPr>
      <w:r w:rsidRPr="005563C5">
        <w:rPr>
          <w:b/>
          <w:sz w:val="28"/>
          <w:szCs w:val="28"/>
        </w:rPr>
        <w:t>Capitolul 3.</w:t>
      </w:r>
      <w:r>
        <w:rPr>
          <w:b/>
          <w:sz w:val="28"/>
          <w:szCs w:val="28"/>
        </w:rPr>
        <w:t xml:space="preserve"> </w:t>
      </w:r>
      <w:r w:rsidRPr="005563C5">
        <w:rPr>
          <w:b/>
          <w:color w:val="000000"/>
          <w:sz w:val="28"/>
          <w:szCs w:val="28"/>
          <w:lang w:val="ro-RO"/>
        </w:rPr>
        <w:t>Transparență instituțională</w:t>
      </w:r>
    </w:p>
    <w:p w:rsidR="00B809CB" w:rsidRDefault="00B809CB" w:rsidP="00B809CB">
      <w:pPr>
        <w:ind w:firstLine="720"/>
        <w:jc w:val="both"/>
        <w:rPr>
          <w:sz w:val="28"/>
          <w:szCs w:val="28"/>
          <w:lang w:val="it-IT"/>
        </w:rPr>
      </w:pPr>
    </w:p>
    <w:p w:rsidR="00B809CB" w:rsidRPr="005563C5" w:rsidRDefault="00B809CB" w:rsidP="00B809CB">
      <w:pPr>
        <w:ind w:firstLine="720"/>
        <w:jc w:val="both"/>
        <w:rPr>
          <w:sz w:val="28"/>
          <w:szCs w:val="28"/>
          <w:lang w:val="it-IT"/>
        </w:rPr>
      </w:pPr>
    </w:p>
    <w:p w:rsidR="00B809CB" w:rsidRDefault="00B809CB" w:rsidP="00B809CB">
      <w:pPr>
        <w:ind w:firstLine="840"/>
        <w:jc w:val="both"/>
        <w:rPr>
          <w:sz w:val="28"/>
          <w:szCs w:val="28"/>
          <w:lang w:val="ro-RO"/>
        </w:rPr>
      </w:pPr>
      <w:r w:rsidRPr="005563C5">
        <w:rPr>
          <w:sz w:val="28"/>
          <w:szCs w:val="28"/>
          <w:lang w:val="ro-RO"/>
        </w:rPr>
        <w:t>Finanţarea activităţii Direcţiei Judeţene de Statistică Argeş a fost asigurată din alocaţii de la bugetul de stat şi din fonduri externe nerambursabile repartizate şi</w:t>
      </w:r>
      <w:r>
        <w:rPr>
          <w:sz w:val="28"/>
          <w:szCs w:val="28"/>
          <w:lang w:val="ro-RO"/>
        </w:rPr>
        <w:t xml:space="preserve"> </w:t>
      </w:r>
      <w:r w:rsidRPr="005563C5">
        <w:rPr>
          <w:sz w:val="28"/>
          <w:szCs w:val="28"/>
          <w:lang w:val="ro-RO"/>
        </w:rPr>
        <w:t xml:space="preserve">finanţate prin bugetul de stat şi aprobate de către Institutul Naţional de Statistică, ca ordonator de credite, în conformitate cu Legea finanţelor publice şi Legea bugetului de stat pe </w:t>
      </w:r>
      <w:r>
        <w:rPr>
          <w:sz w:val="28"/>
          <w:szCs w:val="28"/>
          <w:lang w:val="ro-RO"/>
        </w:rPr>
        <w:t xml:space="preserve">                     anul 2020</w:t>
      </w:r>
      <w:r w:rsidRPr="005563C5">
        <w:rPr>
          <w:sz w:val="28"/>
          <w:szCs w:val="28"/>
          <w:lang w:val="ro-RO"/>
        </w:rPr>
        <w:t>.</w:t>
      </w:r>
    </w:p>
    <w:p w:rsidR="00B809CB" w:rsidRPr="005563C5" w:rsidRDefault="00B809CB" w:rsidP="00B809CB">
      <w:pPr>
        <w:ind w:firstLine="840"/>
        <w:jc w:val="both"/>
        <w:rPr>
          <w:sz w:val="28"/>
          <w:szCs w:val="28"/>
          <w:lang w:val="ro-RO"/>
        </w:rPr>
      </w:pPr>
    </w:p>
    <w:p w:rsidR="00B809CB" w:rsidRPr="005563C5" w:rsidRDefault="00B809CB" w:rsidP="00B809CB">
      <w:pPr>
        <w:ind w:firstLine="840"/>
        <w:jc w:val="both"/>
        <w:rPr>
          <w:sz w:val="28"/>
          <w:szCs w:val="28"/>
          <w:lang w:val="ro-RO"/>
        </w:rPr>
      </w:pPr>
      <w:r w:rsidRPr="005563C5">
        <w:rPr>
          <w:sz w:val="28"/>
          <w:szCs w:val="28"/>
          <w:lang w:val="ro-RO"/>
        </w:rPr>
        <w:t>Scopul finanţării activităţii Direcţiei Judeţene de Statistică Argeş a fost realizarea, în principal, a următoarelor obiective:</w:t>
      </w:r>
    </w:p>
    <w:p w:rsidR="00B809CB" w:rsidRDefault="00B809CB" w:rsidP="00B809CB">
      <w:pPr>
        <w:numPr>
          <w:ilvl w:val="0"/>
          <w:numId w:val="13"/>
        </w:numPr>
        <w:tabs>
          <w:tab w:val="clear" w:pos="1560"/>
          <w:tab w:val="left" w:pos="1418"/>
        </w:tabs>
        <w:ind w:left="0" w:firstLine="851"/>
        <w:jc w:val="both"/>
        <w:rPr>
          <w:sz w:val="28"/>
          <w:szCs w:val="28"/>
          <w:lang w:val="ro-RO"/>
        </w:rPr>
      </w:pPr>
      <w:r w:rsidRPr="00616467">
        <w:rPr>
          <w:sz w:val="28"/>
          <w:szCs w:val="28"/>
          <w:lang w:val="ro-RO"/>
        </w:rPr>
        <w:t>continuarea procesului de transpunere în practică a normelor şi standardelor europene, a statisticii româneşti;</w:t>
      </w:r>
    </w:p>
    <w:p w:rsidR="00B809CB" w:rsidRDefault="00B809CB" w:rsidP="00B809CB">
      <w:pPr>
        <w:numPr>
          <w:ilvl w:val="0"/>
          <w:numId w:val="13"/>
        </w:numPr>
        <w:tabs>
          <w:tab w:val="clear" w:pos="1560"/>
          <w:tab w:val="left" w:pos="1418"/>
        </w:tabs>
        <w:ind w:left="0" w:firstLine="851"/>
        <w:jc w:val="both"/>
        <w:rPr>
          <w:sz w:val="28"/>
          <w:szCs w:val="28"/>
          <w:lang w:val="ro-RO"/>
        </w:rPr>
      </w:pPr>
      <w:r w:rsidRPr="00616467">
        <w:rPr>
          <w:sz w:val="28"/>
          <w:szCs w:val="28"/>
          <w:lang w:val="ro-RO"/>
        </w:rPr>
        <w:t>realizarea cercetărilor statistice cuprinse în PSNA 20</w:t>
      </w:r>
      <w:r>
        <w:rPr>
          <w:sz w:val="28"/>
          <w:szCs w:val="28"/>
          <w:lang w:val="ro-RO"/>
        </w:rPr>
        <w:t>20</w:t>
      </w:r>
      <w:r w:rsidRPr="00616467">
        <w:rPr>
          <w:sz w:val="28"/>
          <w:szCs w:val="28"/>
          <w:lang w:val="ro-RO"/>
        </w:rPr>
        <w:t>;</w:t>
      </w:r>
    </w:p>
    <w:p w:rsidR="00B809CB" w:rsidRDefault="00B809CB" w:rsidP="00B809CB">
      <w:pPr>
        <w:numPr>
          <w:ilvl w:val="0"/>
          <w:numId w:val="13"/>
        </w:numPr>
        <w:tabs>
          <w:tab w:val="clear" w:pos="1560"/>
          <w:tab w:val="left" w:pos="1418"/>
        </w:tabs>
        <w:ind w:left="0" w:firstLine="851"/>
        <w:jc w:val="both"/>
        <w:rPr>
          <w:sz w:val="28"/>
          <w:szCs w:val="28"/>
          <w:lang w:val="ro-RO"/>
        </w:rPr>
      </w:pPr>
      <w:r w:rsidRPr="00616467">
        <w:rPr>
          <w:sz w:val="28"/>
          <w:szCs w:val="28"/>
          <w:lang w:val="ro-RO"/>
        </w:rPr>
        <w:t>dezvoltarea activităţii de diseminare a datelor şi informaţiilor statistice, gestionarea şi întreţinerea seriilor de date statistice;</w:t>
      </w:r>
    </w:p>
    <w:p w:rsidR="00B809CB" w:rsidRDefault="00B809CB" w:rsidP="00B809CB">
      <w:pPr>
        <w:numPr>
          <w:ilvl w:val="0"/>
          <w:numId w:val="13"/>
        </w:numPr>
        <w:tabs>
          <w:tab w:val="clear" w:pos="1560"/>
          <w:tab w:val="left" w:pos="1418"/>
        </w:tabs>
        <w:ind w:left="0" w:firstLine="851"/>
        <w:jc w:val="both"/>
        <w:rPr>
          <w:sz w:val="28"/>
          <w:szCs w:val="28"/>
          <w:lang w:val="ro-RO"/>
        </w:rPr>
      </w:pPr>
      <w:r w:rsidRPr="00616467">
        <w:rPr>
          <w:sz w:val="28"/>
          <w:szCs w:val="28"/>
          <w:lang w:val="ro-RO"/>
        </w:rPr>
        <w:t>dezvoltarea capacităţii de colectare a datelor de la</w:t>
      </w:r>
      <w:r>
        <w:rPr>
          <w:sz w:val="28"/>
          <w:szCs w:val="28"/>
          <w:lang w:val="ro-RO"/>
        </w:rPr>
        <w:t xml:space="preserve"> furnizorii de date statistice;</w:t>
      </w:r>
    </w:p>
    <w:p w:rsidR="00B809CB" w:rsidRDefault="00B809CB" w:rsidP="00B809CB">
      <w:pPr>
        <w:numPr>
          <w:ilvl w:val="0"/>
          <w:numId w:val="13"/>
        </w:numPr>
        <w:tabs>
          <w:tab w:val="clear" w:pos="1560"/>
          <w:tab w:val="left" w:pos="1418"/>
        </w:tabs>
        <w:ind w:left="0" w:firstLine="851"/>
        <w:jc w:val="both"/>
        <w:rPr>
          <w:sz w:val="28"/>
          <w:szCs w:val="28"/>
          <w:lang w:val="ro-RO"/>
        </w:rPr>
      </w:pPr>
      <w:r w:rsidRPr="00616467">
        <w:rPr>
          <w:sz w:val="28"/>
          <w:szCs w:val="28"/>
          <w:lang w:val="ro-RO"/>
        </w:rPr>
        <w:t>dezvoltarea şi perfecţionarea sistemului de prelucrare electronică a datelor de la furnizori;</w:t>
      </w:r>
    </w:p>
    <w:p w:rsidR="00B809CB" w:rsidRPr="00121964" w:rsidRDefault="00B809CB" w:rsidP="00B809CB">
      <w:pPr>
        <w:numPr>
          <w:ilvl w:val="0"/>
          <w:numId w:val="13"/>
        </w:numPr>
        <w:tabs>
          <w:tab w:val="clear" w:pos="1560"/>
          <w:tab w:val="left" w:pos="1418"/>
        </w:tabs>
        <w:ind w:left="0" w:firstLine="851"/>
        <w:jc w:val="both"/>
        <w:rPr>
          <w:sz w:val="28"/>
          <w:szCs w:val="28"/>
          <w:lang w:val="ro-RO"/>
        </w:rPr>
      </w:pPr>
      <w:r w:rsidRPr="00616467">
        <w:rPr>
          <w:sz w:val="28"/>
          <w:szCs w:val="28"/>
          <w:lang w:val="ro-RO"/>
        </w:rPr>
        <w:t xml:space="preserve">modernizarea şi întreţinerea reţelei informatice la parametri optimi preluării şi prelucrării </w:t>
      </w:r>
      <w:r w:rsidRPr="00121964">
        <w:rPr>
          <w:sz w:val="28"/>
          <w:szCs w:val="28"/>
          <w:lang w:val="ro-RO"/>
        </w:rPr>
        <w:t>unui volum mare de date statistice;</w:t>
      </w:r>
    </w:p>
    <w:p w:rsidR="00B809CB" w:rsidRPr="00121964" w:rsidRDefault="00B809CB" w:rsidP="00B809CB">
      <w:pPr>
        <w:numPr>
          <w:ilvl w:val="0"/>
          <w:numId w:val="13"/>
        </w:numPr>
        <w:tabs>
          <w:tab w:val="clear" w:pos="1560"/>
          <w:tab w:val="num" w:pos="851"/>
          <w:tab w:val="left" w:pos="1418"/>
        </w:tabs>
        <w:ind w:left="0" w:firstLine="851"/>
        <w:jc w:val="both"/>
        <w:rPr>
          <w:sz w:val="28"/>
          <w:szCs w:val="28"/>
          <w:lang w:val="ro-RO"/>
        </w:rPr>
      </w:pPr>
      <w:r w:rsidRPr="00121964">
        <w:rPr>
          <w:sz w:val="28"/>
          <w:szCs w:val="28"/>
          <w:lang w:val="ro-RO"/>
        </w:rPr>
        <w:t>participarea la cheltuielile comune şi proprii ale clădirii unde îşi desfăşoară activitatea Direcţia Judeţeană de Statistică Argeş;</w:t>
      </w:r>
    </w:p>
    <w:p w:rsidR="00B809CB" w:rsidRPr="00121964" w:rsidRDefault="00B809CB" w:rsidP="00B809CB">
      <w:pPr>
        <w:numPr>
          <w:ilvl w:val="0"/>
          <w:numId w:val="13"/>
        </w:numPr>
        <w:tabs>
          <w:tab w:val="clear" w:pos="1560"/>
          <w:tab w:val="num" w:pos="851"/>
          <w:tab w:val="left" w:pos="1418"/>
        </w:tabs>
        <w:ind w:left="0" w:firstLine="851"/>
        <w:jc w:val="both"/>
        <w:rPr>
          <w:sz w:val="28"/>
          <w:szCs w:val="28"/>
          <w:lang w:val="ro-RO"/>
        </w:rPr>
      </w:pPr>
      <w:r w:rsidRPr="00121964">
        <w:rPr>
          <w:sz w:val="28"/>
          <w:szCs w:val="28"/>
          <w:lang w:val="ro-RO"/>
        </w:rPr>
        <w:t>asigurarea protecţiei muncii;</w:t>
      </w:r>
    </w:p>
    <w:p w:rsidR="00B809CB" w:rsidRPr="00121964" w:rsidRDefault="00B809CB" w:rsidP="00B809CB">
      <w:pPr>
        <w:numPr>
          <w:ilvl w:val="0"/>
          <w:numId w:val="13"/>
        </w:numPr>
        <w:tabs>
          <w:tab w:val="clear" w:pos="1560"/>
          <w:tab w:val="num" w:pos="851"/>
          <w:tab w:val="left" w:pos="1418"/>
        </w:tabs>
        <w:ind w:left="0" w:firstLine="851"/>
        <w:jc w:val="both"/>
        <w:rPr>
          <w:sz w:val="28"/>
          <w:szCs w:val="28"/>
          <w:lang w:val="ro-RO"/>
        </w:rPr>
      </w:pPr>
      <w:r w:rsidRPr="00121964">
        <w:rPr>
          <w:sz w:val="28"/>
          <w:szCs w:val="28"/>
          <w:lang w:val="ro-RO"/>
        </w:rPr>
        <w:t>realizarea activităților specifice cercetărilor statistice realizate în granturi cu cofinanțare și finanțare din fonduri externe nerambursabile.</w:t>
      </w:r>
    </w:p>
    <w:p w:rsidR="00B809CB" w:rsidRPr="00121964" w:rsidRDefault="00B809CB" w:rsidP="00B809CB">
      <w:pPr>
        <w:tabs>
          <w:tab w:val="left" w:pos="1418"/>
        </w:tabs>
        <w:ind w:left="851"/>
        <w:jc w:val="both"/>
        <w:rPr>
          <w:sz w:val="28"/>
          <w:szCs w:val="28"/>
          <w:lang w:val="ro-RO"/>
        </w:rPr>
      </w:pPr>
    </w:p>
    <w:p w:rsidR="00B809CB" w:rsidRPr="00421E70" w:rsidRDefault="00B809CB" w:rsidP="00B809CB">
      <w:pPr>
        <w:ind w:firstLine="720"/>
        <w:jc w:val="both"/>
        <w:rPr>
          <w:sz w:val="28"/>
          <w:szCs w:val="28"/>
          <w:lang w:val="ro-RO"/>
        </w:rPr>
      </w:pPr>
      <w:r w:rsidRPr="00421E70">
        <w:rPr>
          <w:sz w:val="28"/>
          <w:szCs w:val="28"/>
          <w:lang w:val="ro-RO"/>
        </w:rPr>
        <w:t>În anul 20</w:t>
      </w:r>
      <w:r>
        <w:rPr>
          <w:sz w:val="28"/>
          <w:szCs w:val="28"/>
          <w:lang w:val="ro-RO"/>
        </w:rPr>
        <w:t>21</w:t>
      </w:r>
      <w:r w:rsidRPr="00421E70">
        <w:rPr>
          <w:sz w:val="28"/>
          <w:szCs w:val="28"/>
          <w:lang w:val="ro-RO"/>
        </w:rPr>
        <w:t xml:space="preserve"> au fost deschise credite din fonduri externe nerambursabile prin virarea sumei de </w:t>
      </w:r>
      <w:r>
        <w:rPr>
          <w:sz w:val="28"/>
          <w:szCs w:val="28"/>
          <w:lang w:val="ro-RO"/>
        </w:rPr>
        <w:t>155,2</w:t>
      </w:r>
      <w:r w:rsidRPr="00421E70">
        <w:rPr>
          <w:sz w:val="28"/>
          <w:szCs w:val="28"/>
          <w:lang w:val="ro-RO"/>
        </w:rPr>
        <w:t xml:space="preserve"> mii lei de către Institutul Național de Statistică pentru următoarele granturi:</w:t>
      </w:r>
    </w:p>
    <w:p w:rsidR="00B809CB" w:rsidRPr="00421E70" w:rsidRDefault="00B809CB" w:rsidP="00B809CB">
      <w:pPr>
        <w:ind w:firstLine="720"/>
        <w:jc w:val="both"/>
        <w:rPr>
          <w:sz w:val="28"/>
          <w:szCs w:val="28"/>
          <w:lang w:val="ro-RO"/>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9"/>
        <w:gridCol w:w="1541"/>
      </w:tblGrid>
      <w:tr w:rsidR="00B809CB" w:rsidRPr="00421E70" w:rsidTr="00845630">
        <w:tc>
          <w:tcPr>
            <w:tcW w:w="8519" w:type="dxa"/>
          </w:tcPr>
          <w:p w:rsidR="00B809CB" w:rsidRPr="00421E70" w:rsidRDefault="00B809CB" w:rsidP="00845630">
            <w:pPr>
              <w:pStyle w:val="ListParagraph"/>
              <w:numPr>
                <w:ilvl w:val="0"/>
                <w:numId w:val="22"/>
              </w:numPr>
              <w:jc w:val="both"/>
              <w:rPr>
                <w:sz w:val="28"/>
                <w:szCs w:val="28"/>
                <w:lang w:val="ro-RO"/>
              </w:rPr>
            </w:pPr>
            <w:r>
              <w:rPr>
                <w:sz w:val="28"/>
                <w:szCs w:val="28"/>
                <w:lang w:val="ro-RO"/>
              </w:rPr>
              <w:t>Fișa</w:t>
            </w:r>
            <w:r w:rsidRPr="00421E70">
              <w:rPr>
                <w:sz w:val="28"/>
                <w:szCs w:val="28"/>
                <w:lang w:val="ro-RO"/>
              </w:rPr>
              <w:t xml:space="preserve"> </w:t>
            </w:r>
            <w:r>
              <w:rPr>
                <w:sz w:val="28"/>
                <w:szCs w:val="28"/>
                <w:lang w:val="ro-RO"/>
              </w:rPr>
              <w:t xml:space="preserve"> 17199</w:t>
            </w:r>
            <w:r w:rsidRPr="00421E70">
              <w:rPr>
                <w:sz w:val="28"/>
                <w:szCs w:val="28"/>
                <w:lang w:val="ro-RO"/>
              </w:rPr>
              <w:t xml:space="preserve"> </w:t>
            </w:r>
            <w:r>
              <w:rPr>
                <w:sz w:val="28"/>
                <w:szCs w:val="28"/>
                <w:lang w:val="ro-RO"/>
              </w:rPr>
              <w:t>–</w:t>
            </w:r>
            <w:r w:rsidRPr="00421E70">
              <w:rPr>
                <w:sz w:val="28"/>
                <w:szCs w:val="28"/>
                <w:lang w:val="ro-RO"/>
              </w:rPr>
              <w:t xml:space="preserve"> </w:t>
            </w:r>
            <w:r>
              <w:rPr>
                <w:sz w:val="28"/>
                <w:szCs w:val="28"/>
                <w:lang w:val="ro-RO"/>
              </w:rPr>
              <w:t>Anchete de conjunctură 2010-2021</w:t>
            </w:r>
            <w:r w:rsidRPr="00421E70">
              <w:rPr>
                <w:sz w:val="28"/>
                <w:szCs w:val="28"/>
                <w:lang w:val="ro-RO"/>
              </w:rPr>
              <w:t>..............</w:t>
            </w:r>
            <w:r>
              <w:rPr>
                <w:sz w:val="28"/>
                <w:szCs w:val="28"/>
                <w:lang w:val="ro-RO"/>
              </w:rPr>
              <w:t>..............</w:t>
            </w:r>
          </w:p>
        </w:tc>
        <w:tc>
          <w:tcPr>
            <w:tcW w:w="1541" w:type="dxa"/>
          </w:tcPr>
          <w:p w:rsidR="00B809CB" w:rsidRPr="00421E70" w:rsidRDefault="00B809CB" w:rsidP="00845630">
            <w:pPr>
              <w:jc w:val="center"/>
              <w:rPr>
                <w:sz w:val="28"/>
                <w:szCs w:val="28"/>
                <w:lang w:val="ro-RO"/>
              </w:rPr>
            </w:pPr>
            <w:r>
              <w:rPr>
                <w:sz w:val="28"/>
                <w:szCs w:val="28"/>
                <w:lang w:val="ro-RO"/>
              </w:rPr>
              <w:t>15,0</w:t>
            </w:r>
            <w:r w:rsidRPr="00421E70">
              <w:rPr>
                <w:sz w:val="28"/>
                <w:szCs w:val="28"/>
                <w:lang w:val="ro-RO"/>
              </w:rPr>
              <w:t>00 lei</w:t>
            </w:r>
          </w:p>
        </w:tc>
      </w:tr>
      <w:tr w:rsidR="00B809CB" w:rsidRPr="00421E70" w:rsidTr="00845630">
        <w:tc>
          <w:tcPr>
            <w:tcW w:w="8519" w:type="dxa"/>
          </w:tcPr>
          <w:p w:rsidR="00B809CB" w:rsidRPr="00421E70" w:rsidRDefault="00B809CB" w:rsidP="00845630">
            <w:pPr>
              <w:pStyle w:val="ListParagraph"/>
              <w:numPr>
                <w:ilvl w:val="0"/>
                <w:numId w:val="22"/>
              </w:numPr>
              <w:jc w:val="both"/>
              <w:rPr>
                <w:sz w:val="28"/>
                <w:szCs w:val="28"/>
                <w:lang w:val="ro-RO"/>
              </w:rPr>
            </w:pPr>
            <w:r>
              <w:rPr>
                <w:sz w:val="28"/>
                <w:szCs w:val="28"/>
                <w:lang w:val="ro-RO"/>
              </w:rPr>
              <w:t>Fișa 15299 –  Recensământul General Agricol 2020..........................</w:t>
            </w:r>
          </w:p>
          <w:p w:rsidR="00B809CB" w:rsidRPr="00421E70" w:rsidRDefault="00B809CB" w:rsidP="00845630">
            <w:pPr>
              <w:pStyle w:val="ListParagraph"/>
              <w:jc w:val="both"/>
              <w:rPr>
                <w:sz w:val="28"/>
                <w:szCs w:val="28"/>
                <w:lang w:val="ro-RO"/>
              </w:rPr>
            </w:pPr>
          </w:p>
        </w:tc>
        <w:tc>
          <w:tcPr>
            <w:tcW w:w="1541" w:type="dxa"/>
          </w:tcPr>
          <w:p w:rsidR="00B809CB" w:rsidRPr="00421E70" w:rsidRDefault="00B809CB" w:rsidP="00845630">
            <w:pPr>
              <w:rPr>
                <w:sz w:val="28"/>
                <w:szCs w:val="28"/>
                <w:lang w:val="ro-RO"/>
              </w:rPr>
            </w:pPr>
            <w:r>
              <w:rPr>
                <w:sz w:val="28"/>
                <w:szCs w:val="28"/>
                <w:lang w:val="ro-RO"/>
              </w:rPr>
              <w:t>140,244</w:t>
            </w:r>
            <w:r w:rsidRPr="00421E70">
              <w:rPr>
                <w:sz w:val="28"/>
                <w:szCs w:val="28"/>
                <w:lang w:val="ro-RO"/>
              </w:rPr>
              <w:t xml:space="preserve"> lei</w:t>
            </w:r>
          </w:p>
        </w:tc>
      </w:tr>
    </w:tbl>
    <w:p w:rsidR="00B809CB" w:rsidRDefault="00B809CB" w:rsidP="00B809CB">
      <w:pPr>
        <w:ind w:firstLine="720"/>
        <w:jc w:val="both"/>
        <w:rPr>
          <w:sz w:val="28"/>
          <w:szCs w:val="28"/>
          <w:lang w:val="ro-RO"/>
        </w:rPr>
      </w:pPr>
      <w:r w:rsidRPr="00421E70">
        <w:rPr>
          <w:sz w:val="28"/>
          <w:szCs w:val="28"/>
          <w:lang w:val="ro-RO"/>
        </w:rPr>
        <w:t xml:space="preserve">Întrucât sumele erau din exercițiul precedent și au fost suportate de bugetul statului </w:t>
      </w:r>
      <w:r>
        <w:rPr>
          <w:sz w:val="28"/>
          <w:szCs w:val="28"/>
          <w:lang w:val="ro-RO"/>
        </w:rPr>
        <w:t>în anul 2020</w:t>
      </w:r>
      <w:r w:rsidRPr="00421E70">
        <w:rPr>
          <w:sz w:val="28"/>
          <w:szCs w:val="28"/>
          <w:lang w:val="ro-RO"/>
        </w:rPr>
        <w:t xml:space="preserve">, suma de </w:t>
      </w:r>
      <w:r>
        <w:rPr>
          <w:sz w:val="28"/>
          <w:szCs w:val="28"/>
          <w:lang w:val="ro-RO"/>
        </w:rPr>
        <w:t>15,000</w:t>
      </w:r>
      <w:r w:rsidRPr="00421E70">
        <w:rPr>
          <w:sz w:val="28"/>
          <w:szCs w:val="28"/>
          <w:lang w:val="ro-RO"/>
        </w:rPr>
        <w:t xml:space="preserve"> mii lei a fost virată la trezoreria municipiului Pitești în contul </w:t>
      </w:r>
      <w:r w:rsidRPr="00421E70">
        <w:rPr>
          <w:sz w:val="28"/>
          <w:szCs w:val="28"/>
        </w:rPr>
        <w:t>“</w:t>
      </w:r>
      <w:r w:rsidRPr="00421E70">
        <w:rPr>
          <w:sz w:val="28"/>
          <w:szCs w:val="28"/>
          <w:lang w:val="ro-RO"/>
        </w:rPr>
        <w:t>plăți efectuate din anii precedenți”.</w:t>
      </w:r>
    </w:p>
    <w:p w:rsidR="00B809CB" w:rsidRDefault="00B809CB" w:rsidP="00B809CB">
      <w:pPr>
        <w:ind w:firstLine="720"/>
        <w:jc w:val="both"/>
        <w:rPr>
          <w:sz w:val="28"/>
          <w:szCs w:val="28"/>
          <w:lang w:val="ro-RO"/>
        </w:rPr>
      </w:pPr>
    </w:p>
    <w:p w:rsidR="00B809CB" w:rsidRDefault="00B809CB" w:rsidP="00B809CB">
      <w:pPr>
        <w:ind w:firstLine="720"/>
        <w:jc w:val="both"/>
        <w:rPr>
          <w:sz w:val="28"/>
          <w:szCs w:val="28"/>
          <w:lang w:val="ro-RO"/>
        </w:rPr>
      </w:pPr>
    </w:p>
    <w:p w:rsidR="00B809CB" w:rsidRDefault="00B809CB" w:rsidP="00B809CB">
      <w:pPr>
        <w:ind w:firstLine="720"/>
        <w:jc w:val="both"/>
        <w:rPr>
          <w:sz w:val="28"/>
          <w:szCs w:val="28"/>
          <w:lang w:val="ro-RO"/>
        </w:rPr>
      </w:pPr>
    </w:p>
    <w:p w:rsidR="00B809CB" w:rsidRPr="00421E70" w:rsidRDefault="00B809CB" w:rsidP="00B809CB">
      <w:pPr>
        <w:ind w:firstLine="720"/>
        <w:jc w:val="both"/>
        <w:rPr>
          <w:sz w:val="28"/>
          <w:szCs w:val="28"/>
          <w:lang w:val="ro-RO"/>
        </w:rPr>
      </w:pPr>
    </w:p>
    <w:p w:rsidR="00B809CB" w:rsidRDefault="00B809CB" w:rsidP="00B809CB">
      <w:pPr>
        <w:ind w:firstLine="720"/>
        <w:jc w:val="both"/>
        <w:rPr>
          <w:sz w:val="28"/>
          <w:szCs w:val="28"/>
          <w:lang w:val="ro-RO"/>
        </w:rPr>
      </w:pPr>
      <w:r>
        <w:rPr>
          <w:sz w:val="28"/>
          <w:szCs w:val="28"/>
          <w:lang w:val="ro-RO"/>
        </w:rPr>
        <w:t>În anul 2021</w:t>
      </w:r>
      <w:r w:rsidRPr="00421E70">
        <w:rPr>
          <w:sz w:val="28"/>
          <w:szCs w:val="28"/>
          <w:lang w:val="ro-RO"/>
        </w:rPr>
        <w:t xml:space="preserve"> au fost alocate sume de la bugetul statului și pentru realizarea </w:t>
      </w:r>
    </w:p>
    <w:p w:rsidR="00B809CB" w:rsidRPr="00421E70" w:rsidRDefault="00B809CB" w:rsidP="00B809CB">
      <w:pPr>
        <w:jc w:val="both"/>
        <w:rPr>
          <w:sz w:val="28"/>
          <w:szCs w:val="28"/>
          <w:lang w:val="ro-RO"/>
        </w:rPr>
      </w:pPr>
      <w:r>
        <w:rPr>
          <w:sz w:val="28"/>
          <w:szCs w:val="28"/>
          <w:lang w:val="ro-RO"/>
        </w:rPr>
        <w:t>Recensământului Populației și Locuințelor din România 2021</w:t>
      </w:r>
      <w:r w:rsidRPr="00421E70">
        <w:rPr>
          <w:sz w:val="28"/>
          <w:szCs w:val="28"/>
          <w:lang w:val="ro-RO"/>
        </w:rPr>
        <w:t xml:space="preserve"> și anume:</w:t>
      </w:r>
    </w:p>
    <w:p w:rsidR="00B809CB" w:rsidRPr="00421E70" w:rsidRDefault="00B809CB" w:rsidP="00B809CB">
      <w:pPr>
        <w:jc w:val="center"/>
        <w:rPr>
          <w:sz w:val="28"/>
          <w:szCs w:val="28"/>
          <w:lang w:val="ro-RO"/>
        </w:rPr>
      </w:pP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134"/>
        <w:gridCol w:w="1056"/>
      </w:tblGrid>
      <w:tr w:rsidR="00B809CB" w:rsidRPr="00421E70" w:rsidTr="00845630">
        <w:tc>
          <w:tcPr>
            <w:tcW w:w="5386" w:type="dxa"/>
            <w:shd w:val="clear" w:color="auto" w:fill="auto"/>
          </w:tcPr>
          <w:p w:rsidR="00B809CB" w:rsidRPr="00421E70" w:rsidRDefault="00B809CB" w:rsidP="00845630">
            <w:pPr>
              <w:jc w:val="both"/>
              <w:rPr>
                <w:sz w:val="28"/>
                <w:szCs w:val="28"/>
                <w:lang w:val="ro-RO"/>
              </w:rPr>
            </w:pPr>
          </w:p>
        </w:tc>
        <w:tc>
          <w:tcPr>
            <w:tcW w:w="1134" w:type="dxa"/>
            <w:shd w:val="clear" w:color="auto" w:fill="auto"/>
          </w:tcPr>
          <w:p w:rsidR="00B809CB" w:rsidRPr="00421E70" w:rsidRDefault="00B809CB" w:rsidP="00845630">
            <w:pPr>
              <w:jc w:val="center"/>
              <w:rPr>
                <w:sz w:val="28"/>
                <w:szCs w:val="28"/>
                <w:lang w:val="ro-RO"/>
              </w:rPr>
            </w:pPr>
            <w:r w:rsidRPr="00421E70">
              <w:rPr>
                <w:sz w:val="28"/>
                <w:szCs w:val="28"/>
                <w:lang w:val="ro-RO"/>
              </w:rPr>
              <w:t>Plan</w:t>
            </w:r>
          </w:p>
          <w:p w:rsidR="00B809CB" w:rsidRPr="00421E70" w:rsidRDefault="00B809CB" w:rsidP="00845630">
            <w:pPr>
              <w:jc w:val="center"/>
              <w:rPr>
                <w:sz w:val="28"/>
                <w:szCs w:val="28"/>
                <w:lang w:val="ro-RO"/>
              </w:rPr>
            </w:pPr>
            <w:r w:rsidRPr="00421E70">
              <w:rPr>
                <w:sz w:val="28"/>
                <w:szCs w:val="28"/>
                <w:lang w:val="ro-RO"/>
              </w:rPr>
              <w:t xml:space="preserve">-lei- </w:t>
            </w:r>
          </w:p>
        </w:tc>
        <w:tc>
          <w:tcPr>
            <w:tcW w:w="1056" w:type="dxa"/>
            <w:shd w:val="clear" w:color="auto" w:fill="auto"/>
          </w:tcPr>
          <w:p w:rsidR="00B809CB" w:rsidRPr="00421E70" w:rsidRDefault="00B809CB" w:rsidP="00845630">
            <w:pPr>
              <w:jc w:val="center"/>
              <w:rPr>
                <w:sz w:val="28"/>
                <w:szCs w:val="28"/>
                <w:lang w:val="ro-RO"/>
              </w:rPr>
            </w:pPr>
            <w:r w:rsidRPr="00421E70">
              <w:rPr>
                <w:sz w:val="28"/>
                <w:szCs w:val="28"/>
                <w:lang w:val="ro-RO"/>
              </w:rPr>
              <w:t>Plăți</w:t>
            </w:r>
          </w:p>
          <w:p w:rsidR="00B809CB" w:rsidRPr="00421E70" w:rsidRDefault="00B809CB" w:rsidP="00845630">
            <w:pPr>
              <w:jc w:val="center"/>
              <w:rPr>
                <w:sz w:val="28"/>
                <w:szCs w:val="28"/>
                <w:lang w:val="ro-RO"/>
              </w:rPr>
            </w:pPr>
            <w:r w:rsidRPr="00421E70">
              <w:rPr>
                <w:sz w:val="28"/>
                <w:szCs w:val="28"/>
                <w:lang w:val="ro-RO"/>
              </w:rPr>
              <w:t>-lei-</w:t>
            </w:r>
          </w:p>
        </w:tc>
      </w:tr>
      <w:tr w:rsidR="00B809CB" w:rsidRPr="00421E70" w:rsidTr="00845630">
        <w:tc>
          <w:tcPr>
            <w:tcW w:w="5386" w:type="dxa"/>
            <w:shd w:val="clear" w:color="auto" w:fill="auto"/>
          </w:tcPr>
          <w:p w:rsidR="00B809CB" w:rsidRPr="00421E70" w:rsidRDefault="00B809CB" w:rsidP="00845630">
            <w:pPr>
              <w:rPr>
                <w:sz w:val="28"/>
                <w:szCs w:val="28"/>
                <w:lang w:val="ro-RO"/>
              </w:rPr>
            </w:pPr>
            <w:r w:rsidRPr="00421E70">
              <w:rPr>
                <w:sz w:val="28"/>
                <w:szCs w:val="28"/>
                <w:lang w:val="ro-RO"/>
              </w:rPr>
              <w:t>Furnituri de birou</w:t>
            </w:r>
          </w:p>
        </w:tc>
        <w:tc>
          <w:tcPr>
            <w:tcW w:w="1134" w:type="dxa"/>
            <w:shd w:val="clear" w:color="auto" w:fill="auto"/>
          </w:tcPr>
          <w:p w:rsidR="00B809CB" w:rsidRPr="00421E70" w:rsidRDefault="00B809CB" w:rsidP="00845630">
            <w:pPr>
              <w:jc w:val="center"/>
              <w:rPr>
                <w:sz w:val="28"/>
                <w:szCs w:val="28"/>
                <w:lang w:val="ro-RO"/>
              </w:rPr>
            </w:pPr>
            <w:r>
              <w:rPr>
                <w:sz w:val="28"/>
                <w:szCs w:val="28"/>
                <w:lang w:val="ro-RO"/>
              </w:rPr>
              <w:t>5924</w:t>
            </w:r>
          </w:p>
        </w:tc>
        <w:tc>
          <w:tcPr>
            <w:tcW w:w="1056" w:type="dxa"/>
            <w:shd w:val="clear" w:color="auto" w:fill="auto"/>
          </w:tcPr>
          <w:p w:rsidR="00B809CB" w:rsidRPr="00421E70" w:rsidRDefault="00B809CB" w:rsidP="00845630">
            <w:pPr>
              <w:jc w:val="center"/>
              <w:rPr>
                <w:sz w:val="28"/>
                <w:szCs w:val="28"/>
                <w:lang w:val="ro-RO"/>
              </w:rPr>
            </w:pPr>
            <w:r>
              <w:rPr>
                <w:sz w:val="28"/>
                <w:szCs w:val="28"/>
                <w:lang w:val="ro-RO"/>
              </w:rPr>
              <w:t>5924</w:t>
            </w:r>
          </w:p>
        </w:tc>
      </w:tr>
      <w:tr w:rsidR="00B809CB" w:rsidRPr="00421E70" w:rsidTr="00845630">
        <w:tc>
          <w:tcPr>
            <w:tcW w:w="5386" w:type="dxa"/>
            <w:shd w:val="clear" w:color="auto" w:fill="auto"/>
          </w:tcPr>
          <w:p w:rsidR="00B809CB" w:rsidRPr="00421E70" w:rsidRDefault="00B809CB" w:rsidP="00845630">
            <w:pPr>
              <w:rPr>
                <w:sz w:val="28"/>
                <w:szCs w:val="28"/>
                <w:lang w:val="ro-RO"/>
              </w:rPr>
            </w:pPr>
            <w:r>
              <w:rPr>
                <w:sz w:val="28"/>
                <w:szCs w:val="28"/>
                <w:lang w:val="ro-RO"/>
              </w:rPr>
              <w:t>Materiale pentru curățenie</w:t>
            </w:r>
          </w:p>
        </w:tc>
        <w:tc>
          <w:tcPr>
            <w:tcW w:w="1134" w:type="dxa"/>
            <w:shd w:val="clear" w:color="auto" w:fill="auto"/>
          </w:tcPr>
          <w:p w:rsidR="00B809CB" w:rsidRDefault="00B809CB" w:rsidP="00845630">
            <w:pPr>
              <w:jc w:val="center"/>
              <w:rPr>
                <w:sz w:val="28"/>
                <w:szCs w:val="28"/>
                <w:lang w:val="ro-RO"/>
              </w:rPr>
            </w:pPr>
            <w:r>
              <w:rPr>
                <w:sz w:val="28"/>
                <w:szCs w:val="28"/>
                <w:lang w:val="ro-RO"/>
              </w:rPr>
              <w:t>1538</w:t>
            </w:r>
          </w:p>
        </w:tc>
        <w:tc>
          <w:tcPr>
            <w:tcW w:w="1056" w:type="dxa"/>
            <w:shd w:val="clear" w:color="auto" w:fill="auto"/>
          </w:tcPr>
          <w:p w:rsidR="00B809CB" w:rsidRPr="00421E70" w:rsidRDefault="00B809CB" w:rsidP="00845630">
            <w:pPr>
              <w:jc w:val="center"/>
              <w:rPr>
                <w:sz w:val="28"/>
                <w:szCs w:val="28"/>
                <w:lang w:val="ro-RO"/>
              </w:rPr>
            </w:pPr>
            <w:r>
              <w:rPr>
                <w:sz w:val="28"/>
                <w:szCs w:val="28"/>
                <w:lang w:val="ro-RO"/>
              </w:rPr>
              <w:t>1537</w:t>
            </w:r>
          </w:p>
        </w:tc>
      </w:tr>
      <w:tr w:rsidR="00B809CB" w:rsidRPr="00421E70" w:rsidTr="00845630">
        <w:tc>
          <w:tcPr>
            <w:tcW w:w="5386" w:type="dxa"/>
            <w:shd w:val="clear" w:color="auto" w:fill="auto"/>
          </w:tcPr>
          <w:p w:rsidR="00B809CB" w:rsidRDefault="00B809CB" w:rsidP="00845630">
            <w:pPr>
              <w:rPr>
                <w:sz w:val="28"/>
                <w:szCs w:val="28"/>
                <w:lang w:val="ro-RO"/>
              </w:rPr>
            </w:pPr>
            <w:r>
              <w:rPr>
                <w:sz w:val="28"/>
                <w:szCs w:val="28"/>
                <w:lang w:val="ro-RO"/>
              </w:rPr>
              <w:t>Încălzit și iluminat</w:t>
            </w:r>
          </w:p>
        </w:tc>
        <w:tc>
          <w:tcPr>
            <w:tcW w:w="1134" w:type="dxa"/>
            <w:shd w:val="clear" w:color="auto" w:fill="auto"/>
          </w:tcPr>
          <w:p w:rsidR="00B809CB" w:rsidRDefault="00B809CB" w:rsidP="00845630">
            <w:pPr>
              <w:jc w:val="center"/>
              <w:rPr>
                <w:sz w:val="28"/>
                <w:szCs w:val="28"/>
                <w:lang w:val="ro-RO"/>
              </w:rPr>
            </w:pPr>
            <w:r>
              <w:rPr>
                <w:sz w:val="28"/>
                <w:szCs w:val="28"/>
                <w:lang w:val="ro-RO"/>
              </w:rPr>
              <w:t>6500</w:t>
            </w:r>
          </w:p>
        </w:tc>
        <w:tc>
          <w:tcPr>
            <w:tcW w:w="1056" w:type="dxa"/>
            <w:shd w:val="clear" w:color="auto" w:fill="auto"/>
          </w:tcPr>
          <w:p w:rsidR="00B809CB" w:rsidRPr="00421E70" w:rsidRDefault="00B809CB" w:rsidP="00845630">
            <w:pPr>
              <w:jc w:val="center"/>
              <w:rPr>
                <w:sz w:val="28"/>
                <w:szCs w:val="28"/>
                <w:lang w:val="ro-RO"/>
              </w:rPr>
            </w:pPr>
            <w:r>
              <w:rPr>
                <w:sz w:val="28"/>
                <w:szCs w:val="28"/>
                <w:lang w:val="ro-RO"/>
              </w:rPr>
              <w:t>0</w:t>
            </w:r>
          </w:p>
        </w:tc>
      </w:tr>
      <w:tr w:rsidR="00B809CB" w:rsidRPr="00421E70" w:rsidTr="00845630">
        <w:tc>
          <w:tcPr>
            <w:tcW w:w="5386" w:type="dxa"/>
            <w:shd w:val="clear" w:color="auto" w:fill="auto"/>
          </w:tcPr>
          <w:p w:rsidR="00B809CB" w:rsidRPr="00421E70" w:rsidRDefault="00B809CB" w:rsidP="00845630">
            <w:pPr>
              <w:rPr>
                <w:sz w:val="28"/>
                <w:szCs w:val="28"/>
              </w:rPr>
            </w:pPr>
            <w:r w:rsidRPr="00421E70">
              <w:rPr>
                <w:sz w:val="28"/>
                <w:szCs w:val="28"/>
              </w:rPr>
              <w:t>Piese de schimb</w:t>
            </w:r>
          </w:p>
        </w:tc>
        <w:tc>
          <w:tcPr>
            <w:tcW w:w="1134" w:type="dxa"/>
            <w:shd w:val="clear" w:color="auto" w:fill="auto"/>
          </w:tcPr>
          <w:p w:rsidR="00B809CB" w:rsidRPr="00421E70" w:rsidRDefault="00B809CB" w:rsidP="00845630">
            <w:pPr>
              <w:jc w:val="center"/>
              <w:rPr>
                <w:sz w:val="28"/>
                <w:szCs w:val="28"/>
                <w:lang w:val="ro-RO"/>
              </w:rPr>
            </w:pPr>
            <w:r>
              <w:rPr>
                <w:sz w:val="28"/>
                <w:szCs w:val="28"/>
                <w:lang w:val="ro-RO"/>
              </w:rPr>
              <w:t>2462</w:t>
            </w:r>
          </w:p>
        </w:tc>
        <w:tc>
          <w:tcPr>
            <w:tcW w:w="1056" w:type="dxa"/>
            <w:shd w:val="clear" w:color="auto" w:fill="auto"/>
          </w:tcPr>
          <w:p w:rsidR="00B809CB" w:rsidRPr="00421E70" w:rsidRDefault="00B809CB" w:rsidP="00845630">
            <w:pPr>
              <w:jc w:val="center"/>
              <w:rPr>
                <w:sz w:val="28"/>
                <w:szCs w:val="28"/>
                <w:lang w:val="ro-RO"/>
              </w:rPr>
            </w:pPr>
            <w:r>
              <w:rPr>
                <w:sz w:val="28"/>
                <w:szCs w:val="28"/>
                <w:lang w:val="ro-RO"/>
              </w:rPr>
              <w:t>2461</w:t>
            </w:r>
          </w:p>
        </w:tc>
      </w:tr>
      <w:tr w:rsidR="00B809CB" w:rsidRPr="00421E70" w:rsidTr="00845630">
        <w:tc>
          <w:tcPr>
            <w:tcW w:w="5386" w:type="dxa"/>
            <w:shd w:val="clear" w:color="auto" w:fill="auto"/>
          </w:tcPr>
          <w:p w:rsidR="00B809CB" w:rsidRPr="00421E70" w:rsidRDefault="00B809CB" w:rsidP="00845630">
            <w:pPr>
              <w:rPr>
                <w:sz w:val="28"/>
                <w:szCs w:val="28"/>
              </w:rPr>
            </w:pPr>
            <w:r>
              <w:rPr>
                <w:sz w:val="28"/>
                <w:szCs w:val="28"/>
              </w:rPr>
              <w:t>Poștă și telecomunicații</w:t>
            </w:r>
          </w:p>
        </w:tc>
        <w:tc>
          <w:tcPr>
            <w:tcW w:w="1134" w:type="dxa"/>
            <w:shd w:val="clear" w:color="auto" w:fill="auto"/>
          </w:tcPr>
          <w:p w:rsidR="00B809CB" w:rsidRDefault="00B809CB" w:rsidP="00845630">
            <w:pPr>
              <w:jc w:val="center"/>
              <w:rPr>
                <w:sz w:val="28"/>
                <w:szCs w:val="28"/>
                <w:lang w:val="ro-RO"/>
              </w:rPr>
            </w:pPr>
            <w:r>
              <w:rPr>
                <w:sz w:val="28"/>
                <w:szCs w:val="28"/>
                <w:lang w:val="ro-RO"/>
              </w:rPr>
              <w:t>1790</w:t>
            </w:r>
          </w:p>
        </w:tc>
        <w:tc>
          <w:tcPr>
            <w:tcW w:w="1056" w:type="dxa"/>
            <w:shd w:val="clear" w:color="auto" w:fill="auto"/>
          </w:tcPr>
          <w:p w:rsidR="00B809CB" w:rsidRPr="00421E70" w:rsidRDefault="00B809CB" w:rsidP="00845630">
            <w:pPr>
              <w:jc w:val="center"/>
              <w:rPr>
                <w:sz w:val="28"/>
                <w:szCs w:val="28"/>
                <w:lang w:val="ro-RO"/>
              </w:rPr>
            </w:pPr>
            <w:r>
              <w:rPr>
                <w:sz w:val="28"/>
                <w:szCs w:val="28"/>
                <w:lang w:val="ro-RO"/>
              </w:rPr>
              <w:t>1669</w:t>
            </w:r>
          </w:p>
        </w:tc>
      </w:tr>
      <w:tr w:rsidR="00B809CB" w:rsidRPr="00421E70" w:rsidTr="00845630">
        <w:tc>
          <w:tcPr>
            <w:tcW w:w="5386" w:type="dxa"/>
            <w:shd w:val="clear" w:color="auto" w:fill="auto"/>
          </w:tcPr>
          <w:p w:rsidR="00B809CB" w:rsidRPr="00421E70" w:rsidRDefault="00B809CB" w:rsidP="00845630">
            <w:pPr>
              <w:rPr>
                <w:sz w:val="28"/>
                <w:szCs w:val="28"/>
              </w:rPr>
            </w:pPr>
            <w:r w:rsidRPr="00421E70">
              <w:rPr>
                <w:sz w:val="28"/>
                <w:szCs w:val="28"/>
              </w:rPr>
              <w:t xml:space="preserve">Materiale </w:t>
            </w:r>
            <w:r w:rsidRPr="00421E70">
              <w:rPr>
                <w:sz w:val="28"/>
                <w:szCs w:val="28"/>
                <w:lang w:val="ro-RO"/>
              </w:rPr>
              <w:t>ș</w:t>
            </w:r>
            <w:r w:rsidRPr="00421E70">
              <w:rPr>
                <w:sz w:val="28"/>
                <w:szCs w:val="28"/>
              </w:rPr>
              <w:t>i prestări de servicii cu caracter funcțional</w:t>
            </w:r>
          </w:p>
        </w:tc>
        <w:tc>
          <w:tcPr>
            <w:tcW w:w="1134" w:type="dxa"/>
            <w:shd w:val="clear" w:color="auto" w:fill="auto"/>
          </w:tcPr>
          <w:p w:rsidR="00B809CB" w:rsidRPr="00421E70" w:rsidRDefault="00B809CB" w:rsidP="00845630">
            <w:pPr>
              <w:jc w:val="center"/>
              <w:rPr>
                <w:sz w:val="28"/>
                <w:szCs w:val="28"/>
                <w:lang w:val="ro-RO"/>
              </w:rPr>
            </w:pPr>
            <w:r>
              <w:rPr>
                <w:sz w:val="28"/>
                <w:szCs w:val="28"/>
                <w:lang w:val="ro-RO"/>
              </w:rPr>
              <w:t>18462</w:t>
            </w:r>
          </w:p>
        </w:tc>
        <w:tc>
          <w:tcPr>
            <w:tcW w:w="1056" w:type="dxa"/>
            <w:shd w:val="clear" w:color="auto" w:fill="auto"/>
          </w:tcPr>
          <w:p w:rsidR="00B809CB" w:rsidRPr="00421E70" w:rsidRDefault="00B809CB" w:rsidP="00845630">
            <w:pPr>
              <w:jc w:val="center"/>
              <w:rPr>
                <w:sz w:val="28"/>
                <w:szCs w:val="28"/>
                <w:lang w:val="ro-RO"/>
              </w:rPr>
            </w:pPr>
            <w:r>
              <w:rPr>
                <w:sz w:val="28"/>
                <w:szCs w:val="28"/>
                <w:lang w:val="ro-RO"/>
              </w:rPr>
              <w:t>11255</w:t>
            </w:r>
          </w:p>
        </w:tc>
      </w:tr>
      <w:tr w:rsidR="00B809CB" w:rsidRPr="00421E70" w:rsidTr="00845630">
        <w:tc>
          <w:tcPr>
            <w:tcW w:w="5386" w:type="dxa"/>
            <w:shd w:val="clear" w:color="auto" w:fill="auto"/>
          </w:tcPr>
          <w:p w:rsidR="00B809CB" w:rsidRPr="00421E70" w:rsidRDefault="00B809CB" w:rsidP="00845630">
            <w:pPr>
              <w:rPr>
                <w:sz w:val="28"/>
                <w:szCs w:val="28"/>
              </w:rPr>
            </w:pPr>
            <w:r>
              <w:rPr>
                <w:sz w:val="28"/>
                <w:szCs w:val="28"/>
              </w:rPr>
              <w:lastRenderedPageBreak/>
              <w:t>Alte bunuri și servicii pt. întrținere și funcț.</w:t>
            </w:r>
          </w:p>
        </w:tc>
        <w:tc>
          <w:tcPr>
            <w:tcW w:w="1134" w:type="dxa"/>
            <w:shd w:val="clear" w:color="auto" w:fill="auto"/>
          </w:tcPr>
          <w:p w:rsidR="00B809CB" w:rsidRDefault="00B809CB" w:rsidP="00845630">
            <w:pPr>
              <w:jc w:val="center"/>
              <w:rPr>
                <w:sz w:val="28"/>
                <w:szCs w:val="28"/>
                <w:lang w:val="ro-RO"/>
              </w:rPr>
            </w:pPr>
            <w:r>
              <w:rPr>
                <w:sz w:val="28"/>
                <w:szCs w:val="28"/>
                <w:lang w:val="ro-RO"/>
              </w:rPr>
              <w:t>3206</w:t>
            </w:r>
          </w:p>
        </w:tc>
        <w:tc>
          <w:tcPr>
            <w:tcW w:w="1056" w:type="dxa"/>
            <w:shd w:val="clear" w:color="auto" w:fill="auto"/>
          </w:tcPr>
          <w:p w:rsidR="00B809CB" w:rsidRPr="00421E70" w:rsidRDefault="00B809CB" w:rsidP="00845630">
            <w:pPr>
              <w:jc w:val="center"/>
              <w:rPr>
                <w:sz w:val="28"/>
                <w:szCs w:val="28"/>
                <w:lang w:val="ro-RO"/>
              </w:rPr>
            </w:pPr>
            <w:r>
              <w:rPr>
                <w:sz w:val="28"/>
                <w:szCs w:val="28"/>
                <w:lang w:val="ro-RO"/>
              </w:rPr>
              <w:t>3205</w:t>
            </w:r>
          </w:p>
        </w:tc>
      </w:tr>
      <w:tr w:rsidR="00B809CB" w:rsidRPr="00421E70" w:rsidTr="00845630">
        <w:tc>
          <w:tcPr>
            <w:tcW w:w="5386" w:type="dxa"/>
            <w:shd w:val="clear" w:color="auto" w:fill="auto"/>
          </w:tcPr>
          <w:p w:rsidR="00B809CB" w:rsidRPr="00421E70" w:rsidRDefault="00B809CB" w:rsidP="00845630">
            <w:pPr>
              <w:rPr>
                <w:sz w:val="28"/>
                <w:szCs w:val="28"/>
              </w:rPr>
            </w:pPr>
            <w:r w:rsidRPr="00421E70">
              <w:rPr>
                <w:sz w:val="28"/>
                <w:szCs w:val="28"/>
              </w:rPr>
              <w:t>Obiecte de inventar</w:t>
            </w:r>
          </w:p>
        </w:tc>
        <w:tc>
          <w:tcPr>
            <w:tcW w:w="1134" w:type="dxa"/>
            <w:shd w:val="clear" w:color="auto" w:fill="auto"/>
          </w:tcPr>
          <w:p w:rsidR="00B809CB" w:rsidRPr="00421E70" w:rsidRDefault="00B809CB" w:rsidP="00845630">
            <w:pPr>
              <w:jc w:val="center"/>
              <w:rPr>
                <w:sz w:val="28"/>
                <w:szCs w:val="28"/>
                <w:lang w:val="ro-RO"/>
              </w:rPr>
            </w:pPr>
            <w:r>
              <w:rPr>
                <w:sz w:val="28"/>
                <w:szCs w:val="28"/>
                <w:lang w:val="ro-RO"/>
              </w:rPr>
              <w:t>8300</w:t>
            </w:r>
          </w:p>
        </w:tc>
        <w:tc>
          <w:tcPr>
            <w:tcW w:w="1056" w:type="dxa"/>
            <w:shd w:val="clear" w:color="auto" w:fill="auto"/>
          </w:tcPr>
          <w:p w:rsidR="00B809CB" w:rsidRPr="00421E70" w:rsidRDefault="00B809CB" w:rsidP="00845630">
            <w:pPr>
              <w:jc w:val="center"/>
              <w:rPr>
                <w:sz w:val="28"/>
                <w:szCs w:val="28"/>
                <w:lang w:val="ro-RO"/>
              </w:rPr>
            </w:pPr>
            <w:r>
              <w:rPr>
                <w:sz w:val="28"/>
                <w:szCs w:val="28"/>
                <w:lang w:val="ro-RO"/>
              </w:rPr>
              <w:t>8299</w:t>
            </w:r>
          </w:p>
        </w:tc>
      </w:tr>
      <w:tr w:rsidR="00B809CB" w:rsidRPr="00421E70" w:rsidTr="00845630">
        <w:tc>
          <w:tcPr>
            <w:tcW w:w="5386" w:type="dxa"/>
            <w:shd w:val="clear" w:color="auto" w:fill="auto"/>
          </w:tcPr>
          <w:p w:rsidR="00B809CB" w:rsidRPr="00421E70" w:rsidRDefault="00B809CB" w:rsidP="00845630">
            <w:pPr>
              <w:rPr>
                <w:sz w:val="28"/>
                <w:szCs w:val="28"/>
              </w:rPr>
            </w:pPr>
            <w:r>
              <w:rPr>
                <w:sz w:val="28"/>
                <w:szCs w:val="28"/>
              </w:rPr>
              <w:t>Delplasări interne</w:t>
            </w:r>
          </w:p>
        </w:tc>
        <w:tc>
          <w:tcPr>
            <w:tcW w:w="1134" w:type="dxa"/>
            <w:shd w:val="clear" w:color="auto" w:fill="auto"/>
          </w:tcPr>
          <w:p w:rsidR="00B809CB" w:rsidRDefault="00B809CB" w:rsidP="00845630">
            <w:pPr>
              <w:jc w:val="center"/>
              <w:rPr>
                <w:sz w:val="28"/>
                <w:szCs w:val="28"/>
                <w:lang w:val="ro-RO"/>
              </w:rPr>
            </w:pPr>
            <w:r>
              <w:rPr>
                <w:sz w:val="28"/>
                <w:szCs w:val="28"/>
                <w:lang w:val="ro-RO"/>
              </w:rPr>
              <w:t>1000</w:t>
            </w:r>
          </w:p>
        </w:tc>
        <w:tc>
          <w:tcPr>
            <w:tcW w:w="1056" w:type="dxa"/>
            <w:shd w:val="clear" w:color="auto" w:fill="auto"/>
          </w:tcPr>
          <w:p w:rsidR="00B809CB" w:rsidRPr="00421E70" w:rsidRDefault="00B809CB" w:rsidP="00845630">
            <w:pPr>
              <w:jc w:val="center"/>
              <w:rPr>
                <w:sz w:val="28"/>
                <w:szCs w:val="28"/>
                <w:lang w:val="ro-RO"/>
              </w:rPr>
            </w:pPr>
            <w:r>
              <w:rPr>
                <w:sz w:val="28"/>
                <w:szCs w:val="28"/>
                <w:lang w:val="ro-RO"/>
              </w:rPr>
              <w:t>856</w:t>
            </w:r>
          </w:p>
        </w:tc>
      </w:tr>
      <w:tr w:rsidR="00B809CB" w:rsidRPr="00421E70" w:rsidTr="00845630">
        <w:tc>
          <w:tcPr>
            <w:tcW w:w="5386" w:type="dxa"/>
            <w:shd w:val="clear" w:color="auto" w:fill="auto"/>
          </w:tcPr>
          <w:p w:rsidR="00B809CB" w:rsidRDefault="00B809CB" w:rsidP="00845630">
            <w:pPr>
              <w:rPr>
                <w:sz w:val="28"/>
                <w:szCs w:val="28"/>
              </w:rPr>
            </w:pPr>
            <w:r>
              <w:rPr>
                <w:sz w:val="28"/>
                <w:szCs w:val="28"/>
              </w:rPr>
              <w:t>Alte cheltuieli</w:t>
            </w:r>
          </w:p>
        </w:tc>
        <w:tc>
          <w:tcPr>
            <w:tcW w:w="1134" w:type="dxa"/>
            <w:shd w:val="clear" w:color="auto" w:fill="auto"/>
          </w:tcPr>
          <w:p w:rsidR="00B809CB" w:rsidRDefault="00B809CB" w:rsidP="00845630">
            <w:pPr>
              <w:jc w:val="center"/>
              <w:rPr>
                <w:sz w:val="28"/>
                <w:szCs w:val="28"/>
                <w:lang w:val="ro-RO"/>
              </w:rPr>
            </w:pPr>
            <w:r>
              <w:rPr>
                <w:sz w:val="28"/>
                <w:szCs w:val="28"/>
                <w:lang w:val="ro-RO"/>
              </w:rPr>
              <w:t>97279</w:t>
            </w:r>
          </w:p>
        </w:tc>
        <w:tc>
          <w:tcPr>
            <w:tcW w:w="1056" w:type="dxa"/>
            <w:shd w:val="clear" w:color="auto" w:fill="auto"/>
          </w:tcPr>
          <w:p w:rsidR="00B809CB" w:rsidRPr="00421E70" w:rsidRDefault="00B809CB" w:rsidP="00845630">
            <w:pPr>
              <w:jc w:val="center"/>
              <w:rPr>
                <w:sz w:val="28"/>
                <w:szCs w:val="28"/>
                <w:lang w:val="ro-RO"/>
              </w:rPr>
            </w:pPr>
            <w:r>
              <w:rPr>
                <w:sz w:val="28"/>
                <w:szCs w:val="28"/>
                <w:lang w:val="ro-RO"/>
              </w:rPr>
              <w:t>97279</w:t>
            </w:r>
          </w:p>
        </w:tc>
      </w:tr>
      <w:tr w:rsidR="00B809CB" w:rsidRPr="00421E70" w:rsidTr="00845630">
        <w:tc>
          <w:tcPr>
            <w:tcW w:w="5386" w:type="dxa"/>
            <w:shd w:val="clear" w:color="auto" w:fill="auto"/>
          </w:tcPr>
          <w:p w:rsidR="00B809CB" w:rsidRPr="00421E70" w:rsidRDefault="00B809CB" w:rsidP="00845630">
            <w:pPr>
              <w:jc w:val="center"/>
              <w:rPr>
                <w:sz w:val="28"/>
                <w:szCs w:val="28"/>
              </w:rPr>
            </w:pPr>
            <w:r w:rsidRPr="00421E70">
              <w:rPr>
                <w:sz w:val="28"/>
                <w:szCs w:val="28"/>
              </w:rPr>
              <w:t>TOTAL</w:t>
            </w:r>
          </w:p>
        </w:tc>
        <w:tc>
          <w:tcPr>
            <w:tcW w:w="1134" w:type="dxa"/>
            <w:shd w:val="clear" w:color="auto" w:fill="auto"/>
          </w:tcPr>
          <w:p w:rsidR="00B809CB" w:rsidRPr="00421E70" w:rsidRDefault="00B809CB" w:rsidP="00845630">
            <w:pPr>
              <w:jc w:val="center"/>
              <w:rPr>
                <w:sz w:val="28"/>
                <w:szCs w:val="28"/>
                <w:lang w:val="ro-RO"/>
              </w:rPr>
            </w:pPr>
            <w:r>
              <w:rPr>
                <w:sz w:val="28"/>
                <w:szCs w:val="28"/>
                <w:lang w:val="ro-RO"/>
              </w:rPr>
              <w:t>146461</w:t>
            </w:r>
          </w:p>
        </w:tc>
        <w:tc>
          <w:tcPr>
            <w:tcW w:w="1056" w:type="dxa"/>
            <w:shd w:val="clear" w:color="auto" w:fill="auto"/>
          </w:tcPr>
          <w:p w:rsidR="00B809CB" w:rsidRPr="00421E70" w:rsidRDefault="00B809CB" w:rsidP="00845630">
            <w:pPr>
              <w:jc w:val="center"/>
              <w:rPr>
                <w:sz w:val="28"/>
                <w:szCs w:val="28"/>
                <w:lang w:val="ro-RO"/>
              </w:rPr>
            </w:pPr>
            <w:r>
              <w:rPr>
                <w:sz w:val="28"/>
                <w:szCs w:val="28"/>
                <w:lang w:val="ro-RO"/>
              </w:rPr>
              <w:t>132485</w:t>
            </w:r>
          </w:p>
        </w:tc>
      </w:tr>
    </w:tbl>
    <w:p w:rsidR="00B809CB" w:rsidRPr="00421E70" w:rsidRDefault="00B809CB" w:rsidP="00B809CB">
      <w:pPr>
        <w:jc w:val="both"/>
        <w:rPr>
          <w:sz w:val="28"/>
          <w:szCs w:val="28"/>
          <w:lang w:val="ro-RO"/>
        </w:rPr>
      </w:pPr>
    </w:p>
    <w:p w:rsidR="00B809CB" w:rsidRPr="00421E70" w:rsidRDefault="00B809CB" w:rsidP="00B809CB">
      <w:pPr>
        <w:jc w:val="both"/>
        <w:rPr>
          <w:sz w:val="28"/>
          <w:szCs w:val="28"/>
          <w:lang w:val="ro-RO"/>
        </w:rPr>
      </w:pPr>
      <w:r w:rsidRPr="00421E70">
        <w:rPr>
          <w:sz w:val="28"/>
          <w:szCs w:val="28"/>
          <w:lang w:val="ro-RO"/>
        </w:rPr>
        <w:tab/>
      </w:r>
      <w:r>
        <w:rPr>
          <w:sz w:val="28"/>
          <w:szCs w:val="28"/>
          <w:lang w:val="ro-RO"/>
        </w:rPr>
        <w:t>Prin cofinanțare, în anul 2021</w:t>
      </w:r>
      <w:r w:rsidRPr="00421E70">
        <w:rPr>
          <w:sz w:val="28"/>
          <w:szCs w:val="28"/>
          <w:lang w:val="ro-RO"/>
        </w:rPr>
        <w:t xml:space="preserve"> au fost realizate următoarele proiecte din fonduri externe nerambursabile:</w:t>
      </w:r>
    </w:p>
    <w:p w:rsidR="00B809CB" w:rsidRPr="00421E70" w:rsidRDefault="00B809CB" w:rsidP="00B809CB">
      <w:pPr>
        <w:jc w:val="both"/>
        <w:rPr>
          <w:sz w:val="28"/>
          <w:szCs w:val="28"/>
          <w:lang w:val="ro-RO"/>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9"/>
        <w:gridCol w:w="1541"/>
      </w:tblGrid>
      <w:tr w:rsidR="00B809CB" w:rsidRPr="00421E70" w:rsidTr="00845630">
        <w:tc>
          <w:tcPr>
            <w:tcW w:w="8519" w:type="dxa"/>
          </w:tcPr>
          <w:p w:rsidR="00B809CB" w:rsidRPr="00421E70" w:rsidRDefault="00B809CB" w:rsidP="00845630">
            <w:pPr>
              <w:pStyle w:val="ListParagraph"/>
              <w:numPr>
                <w:ilvl w:val="0"/>
                <w:numId w:val="22"/>
              </w:numPr>
              <w:jc w:val="both"/>
              <w:rPr>
                <w:sz w:val="28"/>
                <w:szCs w:val="28"/>
                <w:lang w:val="ro-RO"/>
              </w:rPr>
            </w:pPr>
            <w:r>
              <w:rPr>
                <w:sz w:val="28"/>
                <w:szCs w:val="28"/>
                <w:lang w:val="ro-RO"/>
              </w:rPr>
              <w:t>Fișa 15299 –  Recensământul General Agricol 2020...........................</w:t>
            </w:r>
          </w:p>
        </w:tc>
        <w:tc>
          <w:tcPr>
            <w:tcW w:w="1541" w:type="dxa"/>
          </w:tcPr>
          <w:p w:rsidR="00B809CB" w:rsidRPr="00421E70" w:rsidRDefault="00B809CB" w:rsidP="00845630">
            <w:pPr>
              <w:rPr>
                <w:sz w:val="28"/>
                <w:szCs w:val="28"/>
                <w:lang w:val="ro-RO"/>
              </w:rPr>
            </w:pPr>
            <w:r>
              <w:rPr>
                <w:sz w:val="28"/>
                <w:szCs w:val="28"/>
                <w:lang w:val="ro-RO"/>
              </w:rPr>
              <w:t>140,244</w:t>
            </w:r>
            <w:r w:rsidRPr="00421E70">
              <w:rPr>
                <w:sz w:val="28"/>
                <w:szCs w:val="28"/>
                <w:lang w:val="ro-RO"/>
              </w:rPr>
              <w:t xml:space="preserve"> lei</w:t>
            </w:r>
          </w:p>
        </w:tc>
      </w:tr>
    </w:tbl>
    <w:p w:rsidR="00B809CB" w:rsidRPr="00421E70" w:rsidRDefault="00B809CB" w:rsidP="00B809CB">
      <w:pPr>
        <w:jc w:val="both"/>
        <w:rPr>
          <w:sz w:val="28"/>
          <w:szCs w:val="28"/>
          <w:lang w:val="ro-RO"/>
        </w:rPr>
      </w:pPr>
    </w:p>
    <w:p w:rsidR="00B809CB" w:rsidRDefault="00B809CB" w:rsidP="00B809CB">
      <w:pPr>
        <w:ind w:firstLine="720"/>
        <w:jc w:val="both"/>
        <w:rPr>
          <w:sz w:val="28"/>
          <w:szCs w:val="28"/>
          <w:lang w:val="ro-RO"/>
        </w:rPr>
      </w:pPr>
      <w:r w:rsidRPr="00421E70">
        <w:rPr>
          <w:sz w:val="28"/>
          <w:szCs w:val="28"/>
          <w:lang w:val="ro-RO"/>
        </w:rPr>
        <w:t>Celelalte cheltuieli nu se individualizează la nivelul Direcției Județene de Statistică Argeș pe alte proiecte.</w:t>
      </w:r>
    </w:p>
    <w:p w:rsidR="00B809CB" w:rsidRPr="00421E70" w:rsidRDefault="00B809CB" w:rsidP="00B809CB">
      <w:pPr>
        <w:ind w:firstLine="720"/>
        <w:jc w:val="both"/>
        <w:rPr>
          <w:sz w:val="28"/>
          <w:szCs w:val="28"/>
          <w:lang w:val="ro-RO"/>
        </w:rPr>
      </w:pPr>
    </w:p>
    <w:p w:rsidR="00B809CB" w:rsidRPr="00121964" w:rsidRDefault="00B809CB" w:rsidP="00B809CB">
      <w:pPr>
        <w:jc w:val="both"/>
        <w:rPr>
          <w:sz w:val="28"/>
          <w:szCs w:val="28"/>
          <w:lang w:val="ro-RO"/>
        </w:rPr>
      </w:pPr>
    </w:p>
    <w:p w:rsidR="00B809CB" w:rsidRPr="00CE76F3" w:rsidRDefault="00B809CB" w:rsidP="00B809CB">
      <w:pPr>
        <w:spacing w:line="360" w:lineRule="auto"/>
        <w:ind w:firstLine="840"/>
        <w:jc w:val="center"/>
        <w:rPr>
          <w:b/>
          <w:sz w:val="28"/>
          <w:szCs w:val="28"/>
          <w:lang w:val="ro-RO"/>
        </w:rPr>
      </w:pPr>
      <w:r w:rsidRPr="00CE76F3">
        <w:rPr>
          <w:b/>
          <w:sz w:val="28"/>
          <w:szCs w:val="28"/>
          <w:lang w:val="ro-RO"/>
        </w:rPr>
        <w:t xml:space="preserve">Execuţia </w:t>
      </w:r>
      <w:r>
        <w:rPr>
          <w:b/>
          <w:sz w:val="28"/>
          <w:szCs w:val="28"/>
          <w:lang w:val="ro-RO"/>
        </w:rPr>
        <w:t>bugetului DJS Argeş pe anul 2021</w:t>
      </w:r>
    </w:p>
    <w:p w:rsidR="00B809CB" w:rsidRPr="00CE76F3" w:rsidRDefault="00B809CB" w:rsidP="00B809CB">
      <w:pPr>
        <w:spacing w:line="360" w:lineRule="auto"/>
        <w:ind w:right="180" w:firstLine="840"/>
        <w:jc w:val="right"/>
        <w:rPr>
          <w:szCs w:val="28"/>
          <w:lang w:val="ro-RO"/>
        </w:rPr>
      </w:pPr>
      <w:r w:rsidRPr="00CE76F3">
        <w:rPr>
          <w:szCs w:val="28"/>
          <w:lang w:val="ro-RO"/>
        </w:rPr>
        <w:t xml:space="preserve"> mii lei</w:t>
      </w:r>
    </w:p>
    <w:tbl>
      <w:tblPr>
        <w:tblW w:w="9513" w:type="dxa"/>
        <w:jc w:val="center"/>
        <w:tblLook w:val="01E0" w:firstRow="1" w:lastRow="1" w:firstColumn="1" w:lastColumn="1" w:noHBand="0" w:noVBand="0"/>
      </w:tblPr>
      <w:tblGrid>
        <w:gridCol w:w="3468"/>
        <w:gridCol w:w="1254"/>
        <w:gridCol w:w="1179"/>
        <w:gridCol w:w="1254"/>
        <w:gridCol w:w="1179"/>
        <w:gridCol w:w="1179"/>
      </w:tblGrid>
      <w:tr w:rsidR="00B809CB" w:rsidRPr="00CE76F3" w:rsidTr="00845630">
        <w:trPr>
          <w:trHeight w:val="624"/>
          <w:jc w:val="center"/>
        </w:trPr>
        <w:tc>
          <w:tcPr>
            <w:tcW w:w="3468" w:type="dxa"/>
            <w:vMerge w:val="restart"/>
            <w:tcBorders>
              <w:top w:val="double" w:sz="4" w:space="0" w:color="auto"/>
              <w:right w:val="double" w:sz="4" w:space="0" w:color="auto"/>
            </w:tcBorders>
            <w:shd w:val="clear" w:color="auto" w:fill="auto"/>
            <w:vAlign w:val="center"/>
          </w:tcPr>
          <w:p w:rsidR="00B809CB" w:rsidRPr="00CE76F3" w:rsidRDefault="00B809CB" w:rsidP="00845630">
            <w:pPr>
              <w:spacing w:line="360" w:lineRule="auto"/>
              <w:jc w:val="center"/>
              <w:rPr>
                <w:b/>
                <w:lang w:val="ro-RO"/>
              </w:rPr>
            </w:pPr>
            <w:r w:rsidRPr="00CE76F3">
              <w:rPr>
                <w:b/>
                <w:lang w:val="ro-RO"/>
              </w:rPr>
              <w:t>Indicatori</w:t>
            </w:r>
          </w:p>
        </w:tc>
        <w:tc>
          <w:tcPr>
            <w:tcW w:w="2433" w:type="dxa"/>
            <w:gridSpan w:val="2"/>
            <w:tcBorders>
              <w:top w:val="double" w:sz="4" w:space="0" w:color="auto"/>
              <w:bottom w:val="single" w:sz="4" w:space="0" w:color="auto"/>
              <w:right w:val="single" w:sz="4" w:space="0" w:color="auto"/>
            </w:tcBorders>
            <w:shd w:val="clear" w:color="auto" w:fill="auto"/>
            <w:vAlign w:val="center"/>
          </w:tcPr>
          <w:p w:rsidR="00B809CB" w:rsidRPr="00CE76F3" w:rsidRDefault="00B809CB" w:rsidP="00845630">
            <w:pPr>
              <w:spacing w:line="360" w:lineRule="auto"/>
              <w:jc w:val="center"/>
              <w:rPr>
                <w:b/>
                <w:lang w:val="ro-RO"/>
              </w:rPr>
            </w:pPr>
            <w:r w:rsidRPr="00CE76F3">
              <w:rPr>
                <w:b/>
                <w:lang w:val="ro-RO"/>
              </w:rPr>
              <w:t>Plan</w:t>
            </w:r>
          </w:p>
        </w:tc>
        <w:tc>
          <w:tcPr>
            <w:tcW w:w="3612" w:type="dxa"/>
            <w:gridSpan w:val="3"/>
            <w:tcBorders>
              <w:top w:val="double" w:sz="4" w:space="0" w:color="auto"/>
              <w:left w:val="single" w:sz="4" w:space="0" w:color="auto"/>
              <w:bottom w:val="single" w:sz="4" w:space="0" w:color="auto"/>
            </w:tcBorders>
            <w:shd w:val="clear" w:color="auto" w:fill="auto"/>
            <w:vAlign w:val="center"/>
          </w:tcPr>
          <w:p w:rsidR="00B809CB" w:rsidRPr="00CE76F3" w:rsidRDefault="00B809CB" w:rsidP="00845630">
            <w:pPr>
              <w:spacing w:line="360" w:lineRule="auto"/>
              <w:jc w:val="center"/>
              <w:rPr>
                <w:b/>
                <w:lang w:val="ro-RO"/>
              </w:rPr>
            </w:pPr>
            <w:r w:rsidRPr="00CE76F3">
              <w:rPr>
                <w:b/>
                <w:lang w:val="ro-RO"/>
              </w:rPr>
              <w:t xml:space="preserve">Realizat </w:t>
            </w:r>
          </w:p>
        </w:tc>
      </w:tr>
      <w:tr w:rsidR="00B809CB" w:rsidRPr="00CE76F3" w:rsidTr="00845630">
        <w:trPr>
          <w:trHeight w:val="624"/>
          <w:jc w:val="center"/>
        </w:trPr>
        <w:tc>
          <w:tcPr>
            <w:tcW w:w="3468" w:type="dxa"/>
            <w:vMerge/>
            <w:tcBorders>
              <w:bottom w:val="double" w:sz="4" w:space="0" w:color="auto"/>
              <w:right w:val="double" w:sz="4" w:space="0" w:color="auto"/>
            </w:tcBorders>
            <w:shd w:val="clear" w:color="auto" w:fill="auto"/>
            <w:vAlign w:val="center"/>
          </w:tcPr>
          <w:p w:rsidR="00B809CB" w:rsidRPr="00CE76F3" w:rsidRDefault="00B809CB" w:rsidP="00845630">
            <w:pPr>
              <w:spacing w:line="360" w:lineRule="auto"/>
              <w:jc w:val="center"/>
              <w:rPr>
                <w:b/>
                <w:lang w:val="ro-RO"/>
              </w:rPr>
            </w:pPr>
          </w:p>
        </w:tc>
        <w:tc>
          <w:tcPr>
            <w:tcW w:w="1254" w:type="dxa"/>
            <w:tcBorders>
              <w:top w:val="single" w:sz="4" w:space="0" w:color="auto"/>
              <w:bottom w:val="double" w:sz="4" w:space="0" w:color="auto"/>
            </w:tcBorders>
            <w:shd w:val="clear" w:color="auto" w:fill="auto"/>
            <w:vAlign w:val="center"/>
          </w:tcPr>
          <w:p w:rsidR="00B809CB" w:rsidRPr="00CE76F3" w:rsidRDefault="00B809CB" w:rsidP="00845630">
            <w:pPr>
              <w:spacing w:line="360" w:lineRule="auto"/>
              <w:jc w:val="center"/>
              <w:rPr>
                <w:b/>
                <w:lang w:val="ro-RO"/>
              </w:rPr>
            </w:pPr>
            <w:r w:rsidRPr="00CE76F3">
              <w:rPr>
                <w:b/>
                <w:lang w:val="ro-RO"/>
              </w:rPr>
              <w:t>total</w:t>
            </w:r>
          </w:p>
        </w:tc>
        <w:tc>
          <w:tcPr>
            <w:tcW w:w="1179" w:type="dxa"/>
            <w:tcBorders>
              <w:top w:val="single" w:sz="4" w:space="0" w:color="auto"/>
              <w:bottom w:val="double" w:sz="4" w:space="0" w:color="auto"/>
              <w:right w:val="single" w:sz="4" w:space="0" w:color="auto"/>
            </w:tcBorders>
            <w:shd w:val="clear" w:color="auto" w:fill="auto"/>
            <w:vAlign w:val="center"/>
          </w:tcPr>
          <w:p w:rsidR="00B809CB" w:rsidRPr="00CE76F3" w:rsidRDefault="00B809CB" w:rsidP="00845630">
            <w:pPr>
              <w:spacing w:line="360" w:lineRule="auto"/>
              <w:jc w:val="center"/>
              <w:rPr>
                <w:b/>
                <w:lang w:val="ro-RO"/>
              </w:rPr>
            </w:pPr>
            <w:r w:rsidRPr="00CE76F3">
              <w:rPr>
                <w:b/>
                <w:lang w:val="ro-RO"/>
              </w:rPr>
              <w:t xml:space="preserve">% </w:t>
            </w:r>
          </w:p>
          <w:p w:rsidR="00B809CB" w:rsidRPr="00CE76F3" w:rsidRDefault="00B809CB" w:rsidP="00845630">
            <w:pPr>
              <w:spacing w:line="360" w:lineRule="auto"/>
              <w:jc w:val="center"/>
              <w:rPr>
                <w:b/>
                <w:lang w:val="ro-RO"/>
              </w:rPr>
            </w:pPr>
            <w:r w:rsidRPr="00CE76F3">
              <w:rPr>
                <w:b/>
                <w:lang w:val="ro-RO"/>
              </w:rPr>
              <w:t>din total</w:t>
            </w:r>
          </w:p>
        </w:tc>
        <w:tc>
          <w:tcPr>
            <w:tcW w:w="1254" w:type="dxa"/>
            <w:tcBorders>
              <w:top w:val="single" w:sz="4" w:space="0" w:color="auto"/>
              <w:left w:val="single" w:sz="4" w:space="0" w:color="auto"/>
              <w:bottom w:val="double" w:sz="4" w:space="0" w:color="auto"/>
            </w:tcBorders>
            <w:shd w:val="clear" w:color="auto" w:fill="auto"/>
            <w:vAlign w:val="center"/>
          </w:tcPr>
          <w:p w:rsidR="00B809CB" w:rsidRPr="00CE76F3" w:rsidRDefault="00B809CB" w:rsidP="00845630">
            <w:pPr>
              <w:spacing w:line="360" w:lineRule="auto"/>
              <w:jc w:val="center"/>
              <w:rPr>
                <w:b/>
                <w:lang w:val="ro-RO"/>
              </w:rPr>
            </w:pPr>
            <w:r w:rsidRPr="00CE76F3">
              <w:rPr>
                <w:b/>
                <w:lang w:val="ro-RO"/>
              </w:rPr>
              <w:t>total</w:t>
            </w:r>
          </w:p>
        </w:tc>
        <w:tc>
          <w:tcPr>
            <w:tcW w:w="1179" w:type="dxa"/>
            <w:tcBorders>
              <w:top w:val="single" w:sz="4" w:space="0" w:color="auto"/>
              <w:bottom w:val="double" w:sz="4" w:space="0" w:color="auto"/>
            </w:tcBorders>
            <w:shd w:val="clear" w:color="auto" w:fill="auto"/>
            <w:vAlign w:val="center"/>
          </w:tcPr>
          <w:p w:rsidR="00B809CB" w:rsidRPr="00CE76F3" w:rsidRDefault="00B809CB" w:rsidP="00845630">
            <w:pPr>
              <w:spacing w:line="360" w:lineRule="auto"/>
              <w:jc w:val="center"/>
              <w:rPr>
                <w:b/>
                <w:lang w:val="ro-RO"/>
              </w:rPr>
            </w:pPr>
            <w:r w:rsidRPr="00CE76F3">
              <w:rPr>
                <w:b/>
                <w:lang w:val="ro-RO"/>
              </w:rPr>
              <w:t xml:space="preserve">% </w:t>
            </w:r>
          </w:p>
          <w:p w:rsidR="00B809CB" w:rsidRPr="00CE76F3" w:rsidRDefault="00B809CB" w:rsidP="00845630">
            <w:pPr>
              <w:spacing w:line="360" w:lineRule="auto"/>
              <w:jc w:val="center"/>
              <w:rPr>
                <w:b/>
                <w:lang w:val="ro-RO"/>
              </w:rPr>
            </w:pPr>
            <w:r w:rsidRPr="00CE76F3">
              <w:rPr>
                <w:b/>
                <w:lang w:val="ro-RO"/>
              </w:rPr>
              <w:t>din total</w:t>
            </w:r>
          </w:p>
        </w:tc>
        <w:tc>
          <w:tcPr>
            <w:tcW w:w="1179" w:type="dxa"/>
            <w:tcBorders>
              <w:top w:val="single" w:sz="4" w:space="0" w:color="auto"/>
              <w:bottom w:val="double" w:sz="4" w:space="0" w:color="auto"/>
            </w:tcBorders>
            <w:shd w:val="clear" w:color="auto" w:fill="auto"/>
            <w:vAlign w:val="center"/>
          </w:tcPr>
          <w:p w:rsidR="00B809CB" w:rsidRPr="00CE76F3" w:rsidRDefault="00B809CB" w:rsidP="00845630">
            <w:pPr>
              <w:spacing w:line="360" w:lineRule="auto"/>
              <w:jc w:val="center"/>
              <w:rPr>
                <w:b/>
                <w:lang w:val="ro-RO"/>
              </w:rPr>
            </w:pPr>
            <w:r w:rsidRPr="00CE76F3">
              <w:rPr>
                <w:b/>
                <w:lang w:val="ro-RO"/>
              </w:rPr>
              <w:t xml:space="preserve">% </w:t>
            </w:r>
          </w:p>
          <w:p w:rsidR="00B809CB" w:rsidRPr="00CE76F3" w:rsidRDefault="00B809CB" w:rsidP="00845630">
            <w:pPr>
              <w:spacing w:line="360" w:lineRule="auto"/>
              <w:jc w:val="center"/>
              <w:rPr>
                <w:b/>
                <w:lang w:val="ro-RO"/>
              </w:rPr>
            </w:pPr>
            <w:r w:rsidRPr="00CE76F3">
              <w:rPr>
                <w:b/>
                <w:lang w:val="ro-RO"/>
              </w:rPr>
              <w:t>din plan</w:t>
            </w:r>
          </w:p>
        </w:tc>
      </w:tr>
      <w:tr w:rsidR="00B809CB" w:rsidRPr="00CE76F3" w:rsidTr="00845630">
        <w:trPr>
          <w:trHeight w:val="284"/>
          <w:jc w:val="center"/>
        </w:trPr>
        <w:tc>
          <w:tcPr>
            <w:tcW w:w="3468" w:type="dxa"/>
            <w:tcBorders>
              <w:right w:val="double" w:sz="4" w:space="0" w:color="auto"/>
            </w:tcBorders>
            <w:shd w:val="clear" w:color="auto" w:fill="auto"/>
          </w:tcPr>
          <w:p w:rsidR="00B809CB" w:rsidRPr="00CE76F3" w:rsidRDefault="00B809CB" w:rsidP="00845630">
            <w:pPr>
              <w:spacing w:before="120"/>
              <w:rPr>
                <w:b/>
                <w:lang w:val="ro-RO"/>
              </w:rPr>
            </w:pPr>
          </w:p>
        </w:tc>
        <w:tc>
          <w:tcPr>
            <w:tcW w:w="1254" w:type="dxa"/>
            <w:shd w:val="clear" w:color="auto" w:fill="auto"/>
            <w:vAlign w:val="bottom"/>
          </w:tcPr>
          <w:p w:rsidR="00B809CB" w:rsidRPr="00CE76F3" w:rsidRDefault="00B809CB" w:rsidP="00845630">
            <w:pPr>
              <w:tabs>
                <w:tab w:val="left" w:pos="744"/>
              </w:tabs>
              <w:ind w:right="218"/>
              <w:jc w:val="right"/>
              <w:rPr>
                <w:b/>
                <w:lang w:val="ro-RO"/>
              </w:rPr>
            </w:pPr>
          </w:p>
        </w:tc>
        <w:tc>
          <w:tcPr>
            <w:tcW w:w="1179" w:type="dxa"/>
            <w:shd w:val="clear" w:color="auto" w:fill="auto"/>
            <w:vAlign w:val="bottom"/>
          </w:tcPr>
          <w:p w:rsidR="00B809CB" w:rsidRPr="00CE76F3" w:rsidRDefault="00B809CB" w:rsidP="00845630">
            <w:pPr>
              <w:tabs>
                <w:tab w:val="left" w:pos="744"/>
              </w:tabs>
              <w:ind w:right="218"/>
              <w:jc w:val="right"/>
              <w:rPr>
                <w:b/>
                <w:lang w:val="ro-RO"/>
              </w:rPr>
            </w:pPr>
          </w:p>
        </w:tc>
        <w:tc>
          <w:tcPr>
            <w:tcW w:w="1254" w:type="dxa"/>
            <w:shd w:val="clear" w:color="auto" w:fill="auto"/>
            <w:vAlign w:val="bottom"/>
          </w:tcPr>
          <w:p w:rsidR="00B809CB" w:rsidRPr="00CE76F3" w:rsidRDefault="00B809CB" w:rsidP="00845630">
            <w:pPr>
              <w:tabs>
                <w:tab w:val="left" w:pos="744"/>
              </w:tabs>
              <w:ind w:right="218"/>
              <w:jc w:val="right"/>
              <w:rPr>
                <w:b/>
                <w:lang w:val="ro-RO"/>
              </w:rPr>
            </w:pPr>
          </w:p>
        </w:tc>
        <w:tc>
          <w:tcPr>
            <w:tcW w:w="1179" w:type="dxa"/>
            <w:shd w:val="clear" w:color="auto" w:fill="auto"/>
            <w:vAlign w:val="bottom"/>
          </w:tcPr>
          <w:p w:rsidR="00B809CB" w:rsidRPr="00CE76F3" w:rsidRDefault="00B809CB" w:rsidP="00845630">
            <w:pPr>
              <w:tabs>
                <w:tab w:val="left" w:pos="744"/>
              </w:tabs>
              <w:ind w:right="218"/>
              <w:jc w:val="right"/>
              <w:rPr>
                <w:b/>
                <w:lang w:val="ro-RO"/>
              </w:rPr>
            </w:pPr>
          </w:p>
        </w:tc>
        <w:tc>
          <w:tcPr>
            <w:tcW w:w="1179" w:type="dxa"/>
            <w:shd w:val="clear" w:color="auto" w:fill="auto"/>
            <w:vAlign w:val="bottom"/>
          </w:tcPr>
          <w:p w:rsidR="00B809CB" w:rsidRPr="00CE76F3" w:rsidRDefault="00B809CB" w:rsidP="00845630">
            <w:pPr>
              <w:tabs>
                <w:tab w:val="left" w:pos="744"/>
              </w:tabs>
              <w:ind w:right="218"/>
              <w:jc w:val="right"/>
              <w:rPr>
                <w:b/>
                <w:lang w:val="ro-RO"/>
              </w:rPr>
            </w:pPr>
          </w:p>
        </w:tc>
      </w:tr>
      <w:tr w:rsidR="00B809CB" w:rsidRPr="00CE76F3" w:rsidTr="00845630">
        <w:trPr>
          <w:trHeight w:val="284"/>
          <w:jc w:val="center"/>
        </w:trPr>
        <w:tc>
          <w:tcPr>
            <w:tcW w:w="3468" w:type="dxa"/>
            <w:tcBorders>
              <w:right w:val="double" w:sz="4" w:space="0" w:color="auto"/>
            </w:tcBorders>
            <w:shd w:val="clear" w:color="auto" w:fill="auto"/>
          </w:tcPr>
          <w:p w:rsidR="00B809CB" w:rsidRPr="00CE76F3" w:rsidRDefault="00B809CB" w:rsidP="00845630">
            <w:pPr>
              <w:spacing w:before="120"/>
              <w:rPr>
                <w:b/>
                <w:lang w:val="ro-RO"/>
              </w:rPr>
            </w:pPr>
            <w:r w:rsidRPr="00CE76F3">
              <w:rPr>
                <w:b/>
                <w:lang w:val="ro-RO"/>
              </w:rPr>
              <w:t>Total buget</w:t>
            </w:r>
          </w:p>
        </w:tc>
        <w:tc>
          <w:tcPr>
            <w:tcW w:w="1254" w:type="dxa"/>
            <w:tcBorders>
              <w:left w:val="double" w:sz="4" w:space="0" w:color="auto"/>
            </w:tcBorders>
            <w:shd w:val="clear" w:color="auto" w:fill="auto"/>
            <w:vAlign w:val="bottom"/>
          </w:tcPr>
          <w:p w:rsidR="00B809CB" w:rsidRPr="00CE76F3" w:rsidRDefault="00B809CB" w:rsidP="00845630">
            <w:pPr>
              <w:tabs>
                <w:tab w:val="left" w:pos="744"/>
              </w:tabs>
              <w:ind w:right="218"/>
              <w:jc w:val="right"/>
              <w:rPr>
                <w:b/>
                <w:lang w:val="ro-RO"/>
              </w:rPr>
            </w:pPr>
            <w:r>
              <w:rPr>
                <w:b/>
                <w:lang w:val="ro-RO"/>
              </w:rPr>
              <w:t>4194</w:t>
            </w:r>
            <w:r w:rsidRPr="00CE76F3">
              <w:rPr>
                <w:b/>
                <w:lang w:val="ro-RO"/>
              </w:rPr>
              <w:t>,</w:t>
            </w:r>
            <w:r>
              <w:rPr>
                <w:b/>
                <w:lang w:val="ro-RO"/>
              </w:rPr>
              <w:t>8</w:t>
            </w:r>
          </w:p>
        </w:tc>
        <w:tc>
          <w:tcPr>
            <w:tcW w:w="1179" w:type="dxa"/>
            <w:shd w:val="clear" w:color="auto" w:fill="auto"/>
            <w:vAlign w:val="bottom"/>
          </w:tcPr>
          <w:p w:rsidR="00B809CB" w:rsidRPr="00CE76F3" w:rsidRDefault="00B809CB" w:rsidP="00845630">
            <w:pPr>
              <w:tabs>
                <w:tab w:val="left" w:pos="744"/>
              </w:tabs>
              <w:ind w:right="218"/>
              <w:jc w:val="right"/>
              <w:rPr>
                <w:b/>
                <w:lang w:val="ro-RO"/>
              </w:rPr>
            </w:pPr>
            <w:r w:rsidRPr="00CE76F3">
              <w:rPr>
                <w:b/>
                <w:lang w:val="ro-RO"/>
              </w:rPr>
              <w:t>100,00</w:t>
            </w:r>
          </w:p>
        </w:tc>
        <w:tc>
          <w:tcPr>
            <w:tcW w:w="1254" w:type="dxa"/>
            <w:shd w:val="clear" w:color="auto" w:fill="auto"/>
            <w:vAlign w:val="bottom"/>
          </w:tcPr>
          <w:p w:rsidR="00B809CB" w:rsidRPr="00CE76F3" w:rsidRDefault="00B809CB" w:rsidP="00845630">
            <w:pPr>
              <w:tabs>
                <w:tab w:val="left" w:pos="744"/>
              </w:tabs>
              <w:ind w:right="218"/>
              <w:jc w:val="right"/>
              <w:rPr>
                <w:b/>
                <w:lang w:val="ro-RO"/>
              </w:rPr>
            </w:pPr>
            <w:r>
              <w:rPr>
                <w:b/>
                <w:lang w:val="ro-RO"/>
              </w:rPr>
              <w:t>4098,0</w:t>
            </w:r>
          </w:p>
        </w:tc>
        <w:tc>
          <w:tcPr>
            <w:tcW w:w="1179" w:type="dxa"/>
            <w:shd w:val="clear" w:color="auto" w:fill="auto"/>
            <w:vAlign w:val="bottom"/>
          </w:tcPr>
          <w:p w:rsidR="00B809CB" w:rsidRPr="00CE76F3" w:rsidRDefault="00B809CB" w:rsidP="00845630">
            <w:pPr>
              <w:tabs>
                <w:tab w:val="left" w:pos="744"/>
              </w:tabs>
              <w:ind w:right="218"/>
              <w:jc w:val="right"/>
              <w:rPr>
                <w:b/>
                <w:lang w:val="ro-RO"/>
              </w:rPr>
            </w:pPr>
            <w:r w:rsidRPr="00CE76F3">
              <w:rPr>
                <w:b/>
                <w:lang w:val="ro-RO"/>
              </w:rPr>
              <w:t>100,0</w:t>
            </w:r>
          </w:p>
        </w:tc>
        <w:tc>
          <w:tcPr>
            <w:tcW w:w="1179" w:type="dxa"/>
            <w:shd w:val="clear" w:color="auto" w:fill="auto"/>
            <w:vAlign w:val="bottom"/>
          </w:tcPr>
          <w:p w:rsidR="00B809CB" w:rsidRPr="00CE76F3" w:rsidRDefault="00B809CB" w:rsidP="00845630">
            <w:pPr>
              <w:tabs>
                <w:tab w:val="left" w:pos="744"/>
              </w:tabs>
              <w:ind w:right="218"/>
              <w:jc w:val="right"/>
              <w:rPr>
                <w:b/>
                <w:lang w:val="ro-RO"/>
              </w:rPr>
            </w:pPr>
            <w:r>
              <w:rPr>
                <w:b/>
                <w:lang w:val="ro-RO"/>
              </w:rPr>
              <w:t>97</w:t>
            </w:r>
            <w:r w:rsidRPr="00CE76F3">
              <w:rPr>
                <w:b/>
                <w:lang w:val="ro-RO"/>
              </w:rPr>
              <w:t>,</w:t>
            </w:r>
            <w:r>
              <w:rPr>
                <w:b/>
                <w:lang w:val="ro-RO"/>
              </w:rPr>
              <w:t>7</w:t>
            </w:r>
          </w:p>
        </w:tc>
      </w:tr>
      <w:tr w:rsidR="00B809CB" w:rsidRPr="00CE76F3" w:rsidTr="00845630">
        <w:trPr>
          <w:trHeight w:val="284"/>
          <w:jc w:val="center"/>
        </w:trPr>
        <w:tc>
          <w:tcPr>
            <w:tcW w:w="3468" w:type="dxa"/>
            <w:tcBorders>
              <w:right w:val="double" w:sz="4" w:space="0" w:color="auto"/>
            </w:tcBorders>
            <w:shd w:val="clear" w:color="auto" w:fill="auto"/>
          </w:tcPr>
          <w:p w:rsidR="00B809CB" w:rsidRPr="00CE76F3" w:rsidRDefault="00B809CB" w:rsidP="00845630">
            <w:pPr>
              <w:spacing w:before="120"/>
              <w:rPr>
                <w:b/>
                <w:lang w:val="ro-RO"/>
              </w:rPr>
            </w:pPr>
            <w:r w:rsidRPr="00CE76F3">
              <w:rPr>
                <w:b/>
                <w:lang w:val="ro-RO"/>
              </w:rPr>
              <w:t>Cheltuieli personal</w:t>
            </w:r>
          </w:p>
        </w:tc>
        <w:tc>
          <w:tcPr>
            <w:tcW w:w="1254" w:type="dxa"/>
            <w:tcBorders>
              <w:left w:val="double" w:sz="4" w:space="0" w:color="auto"/>
            </w:tcBorders>
            <w:shd w:val="clear" w:color="auto" w:fill="auto"/>
            <w:vAlign w:val="bottom"/>
          </w:tcPr>
          <w:p w:rsidR="00B809CB" w:rsidRPr="00CE76F3" w:rsidRDefault="00B809CB" w:rsidP="00845630">
            <w:pPr>
              <w:tabs>
                <w:tab w:val="left" w:pos="744"/>
              </w:tabs>
              <w:ind w:right="218"/>
              <w:jc w:val="right"/>
              <w:rPr>
                <w:b/>
                <w:lang w:val="ro-RO"/>
              </w:rPr>
            </w:pPr>
            <w:r>
              <w:rPr>
                <w:b/>
                <w:lang w:val="ro-RO"/>
              </w:rPr>
              <w:t>2954,8</w:t>
            </w:r>
          </w:p>
        </w:tc>
        <w:tc>
          <w:tcPr>
            <w:tcW w:w="1179" w:type="dxa"/>
            <w:shd w:val="clear" w:color="auto" w:fill="auto"/>
            <w:vAlign w:val="bottom"/>
          </w:tcPr>
          <w:p w:rsidR="00B809CB" w:rsidRPr="00CE76F3" w:rsidRDefault="00B809CB" w:rsidP="00845630">
            <w:pPr>
              <w:tabs>
                <w:tab w:val="left" w:pos="744"/>
              </w:tabs>
              <w:ind w:right="218"/>
              <w:jc w:val="right"/>
              <w:rPr>
                <w:b/>
                <w:lang w:val="ro-RO"/>
              </w:rPr>
            </w:pPr>
            <w:r>
              <w:rPr>
                <w:b/>
                <w:lang w:val="ro-RO"/>
              </w:rPr>
              <w:t>70</w:t>
            </w:r>
            <w:r w:rsidRPr="00CE76F3">
              <w:rPr>
                <w:b/>
                <w:lang w:val="ro-RO"/>
              </w:rPr>
              <w:t>,</w:t>
            </w:r>
            <w:r>
              <w:rPr>
                <w:b/>
                <w:lang w:val="ro-RO"/>
              </w:rPr>
              <w:t>4</w:t>
            </w:r>
          </w:p>
        </w:tc>
        <w:tc>
          <w:tcPr>
            <w:tcW w:w="1254" w:type="dxa"/>
            <w:shd w:val="clear" w:color="auto" w:fill="auto"/>
            <w:vAlign w:val="bottom"/>
          </w:tcPr>
          <w:p w:rsidR="00B809CB" w:rsidRPr="00CE76F3" w:rsidRDefault="00B809CB" w:rsidP="00845630">
            <w:pPr>
              <w:tabs>
                <w:tab w:val="left" w:pos="744"/>
              </w:tabs>
              <w:ind w:right="218"/>
              <w:jc w:val="right"/>
              <w:rPr>
                <w:b/>
                <w:lang w:val="ro-RO"/>
              </w:rPr>
            </w:pPr>
            <w:r>
              <w:rPr>
                <w:b/>
                <w:lang w:val="ro-RO"/>
              </w:rPr>
              <w:t>2953,5</w:t>
            </w:r>
          </w:p>
        </w:tc>
        <w:tc>
          <w:tcPr>
            <w:tcW w:w="1179" w:type="dxa"/>
            <w:shd w:val="clear" w:color="auto" w:fill="auto"/>
            <w:vAlign w:val="bottom"/>
          </w:tcPr>
          <w:p w:rsidR="00B809CB" w:rsidRPr="00CE76F3" w:rsidRDefault="00B809CB" w:rsidP="00845630">
            <w:pPr>
              <w:tabs>
                <w:tab w:val="left" w:pos="744"/>
              </w:tabs>
              <w:ind w:right="218"/>
              <w:jc w:val="right"/>
              <w:rPr>
                <w:b/>
                <w:lang w:val="ro-RO"/>
              </w:rPr>
            </w:pPr>
            <w:r>
              <w:rPr>
                <w:b/>
                <w:lang w:val="ro-RO"/>
              </w:rPr>
              <w:t>7</w:t>
            </w:r>
            <w:r w:rsidRPr="00CE76F3">
              <w:rPr>
                <w:b/>
                <w:lang w:val="ro-RO"/>
              </w:rPr>
              <w:t>2,</w:t>
            </w:r>
            <w:r>
              <w:rPr>
                <w:b/>
                <w:lang w:val="ro-RO"/>
              </w:rPr>
              <w:t>1</w:t>
            </w:r>
          </w:p>
        </w:tc>
        <w:tc>
          <w:tcPr>
            <w:tcW w:w="1179" w:type="dxa"/>
            <w:shd w:val="clear" w:color="auto" w:fill="auto"/>
            <w:vAlign w:val="bottom"/>
          </w:tcPr>
          <w:p w:rsidR="00B809CB" w:rsidRPr="00CE76F3" w:rsidRDefault="00B809CB" w:rsidP="00845630">
            <w:pPr>
              <w:tabs>
                <w:tab w:val="left" w:pos="744"/>
              </w:tabs>
              <w:ind w:right="218"/>
              <w:jc w:val="right"/>
              <w:rPr>
                <w:b/>
                <w:lang w:val="ro-RO"/>
              </w:rPr>
            </w:pPr>
            <w:r w:rsidRPr="00CE76F3">
              <w:rPr>
                <w:b/>
                <w:lang w:val="ro-RO"/>
              </w:rPr>
              <w:t>99,</w:t>
            </w:r>
            <w:r>
              <w:rPr>
                <w:b/>
                <w:lang w:val="ro-RO"/>
              </w:rPr>
              <w:t>9</w:t>
            </w:r>
          </w:p>
        </w:tc>
      </w:tr>
      <w:tr w:rsidR="00B809CB" w:rsidRPr="00CE76F3" w:rsidTr="00845630">
        <w:trPr>
          <w:trHeight w:val="284"/>
          <w:jc w:val="center"/>
        </w:trPr>
        <w:tc>
          <w:tcPr>
            <w:tcW w:w="3468" w:type="dxa"/>
            <w:tcBorders>
              <w:right w:val="double" w:sz="4" w:space="0" w:color="auto"/>
            </w:tcBorders>
            <w:shd w:val="clear" w:color="auto" w:fill="auto"/>
          </w:tcPr>
          <w:p w:rsidR="00B809CB" w:rsidRPr="00CE76F3" w:rsidRDefault="00B809CB" w:rsidP="00845630">
            <w:pPr>
              <w:numPr>
                <w:ilvl w:val="0"/>
                <w:numId w:val="14"/>
              </w:numPr>
              <w:tabs>
                <w:tab w:val="clear" w:pos="720"/>
                <w:tab w:val="num" w:pos="360"/>
              </w:tabs>
              <w:spacing w:before="120"/>
              <w:ind w:left="360" w:hanging="240"/>
              <w:rPr>
                <w:lang w:val="ro-RO"/>
              </w:rPr>
            </w:pPr>
            <w:r w:rsidRPr="00CE76F3">
              <w:rPr>
                <w:lang w:val="ro-RO"/>
              </w:rPr>
              <w:t>Cheltuieli cu salariile</w:t>
            </w:r>
          </w:p>
          <w:p w:rsidR="00B809CB" w:rsidRPr="00CE76F3" w:rsidRDefault="00B809CB" w:rsidP="00845630">
            <w:pPr>
              <w:numPr>
                <w:ilvl w:val="0"/>
                <w:numId w:val="14"/>
              </w:numPr>
              <w:tabs>
                <w:tab w:val="clear" w:pos="720"/>
                <w:tab w:val="num" w:pos="360"/>
              </w:tabs>
              <w:spacing w:before="120"/>
              <w:ind w:left="360" w:hanging="240"/>
              <w:rPr>
                <w:lang w:val="ro-RO"/>
              </w:rPr>
            </w:pPr>
            <w:r w:rsidRPr="00CE76F3">
              <w:rPr>
                <w:lang w:val="ro-RO"/>
              </w:rPr>
              <w:t>Cheltuieli salariale în natură</w:t>
            </w:r>
          </w:p>
        </w:tc>
        <w:tc>
          <w:tcPr>
            <w:tcW w:w="1254" w:type="dxa"/>
            <w:tcBorders>
              <w:left w:val="double" w:sz="4" w:space="0" w:color="auto"/>
            </w:tcBorders>
            <w:shd w:val="clear" w:color="auto" w:fill="auto"/>
            <w:vAlign w:val="bottom"/>
          </w:tcPr>
          <w:p w:rsidR="00B809CB" w:rsidRPr="00CE76F3" w:rsidRDefault="00B809CB" w:rsidP="00845630">
            <w:pPr>
              <w:tabs>
                <w:tab w:val="left" w:pos="744"/>
              </w:tabs>
              <w:ind w:right="218"/>
              <w:jc w:val="right"/>
              <w:rPr>
                <w:lang w:val="ro-RO"/>
              </w:rPr>
            </w:pPr>
            <w:r>
              <w:rPr>
                <w:lang w:val="ro-RO"/>
              </w:rPr>
              <w:t>2889,9</w:t>
            </w:r>
          </w:p>
          <w:p w:rsidR="00B809CB" w:rsidRPr="00CE76F3" w:rsidRDefault="00B809CB" w:rsidP="00845630">
            <w:pPr>
              <w:tabs>
                <w:tab w:val="left" w:pos="744"/>
              </w:tabs>
              <w:ind w:right="218"/>
              <w:jc w:val="right"/>
              <w:rPr>
                <w:lang w:val="ro-RO"/>
              </w:rPr>
            </w:pPr>
            <w:r>
              <w:rPr>
                <w:lang w:val="ro-RO"/>
              </w:rPr>
              <w:t>0</w:t>
            </w:r>
          </w:p>
        </w:tc>
        <w:tc>
          <w:tcPr>
            <w:tcW w:w="1179" w:type="dxa"/>
            <w:shd w:val="clear" w:color="auto" w:fill="auto"/>
            <w:vAlign w:val="bottom"/>
          </w:tcPr>
          <w:p w:rsidR="00B809CB" w:rsidRPr="00CE76F3" w:rsidRDefault="00B809CB" w:rsidP="00845630">
            <w:pPr>
              <w:tabs>
                <w:tab w:val="left" w:pos="744"/>
              </w:tabs>
              <w:ind w:right="218"/>
              <w:jc w:val="right"/>
              <w:rPr>
                <w:lang w:val="ro-RO"/>
              </w:rPr>
            </w:pPr>
          </w:p>
          <w:p w:rsidR="00B809CB" w:rsidRPr="00CE76F3" w:rsidRDefault="00B809CB" w:rsidP="00845630">
            <w:pPr>
              <w:tabs>
                <w:tab w:val="left" w:pos="744"/>
              </w:tabs>
              <w:ind w:right="218"/>
              <w:jc w:val="right"/>
              <w:rPr>
                <w:lang w:val="ro-RO"/>
              </w:rPr>
            </w:pPr>
            <w:r>
              <w:rPr>
                <w:lang w:val="ro-RO"/>
              </w:rPr>
              <w:t>68,9</w:t>
            </w:r>
          </w:p>
          <w:p w:rsidR="00B809CB" w:rsidRPr="00CE76F3" w:rsidRDefault="00B809CB" w:rsidP="00845630">
            <w:pPr>
              <w:tabs>
                <w:tab w:val="left" w:pos="744"/>
              </w:tabs>
              <w:ind w:right="218"/>
              <w:jc w:val="right"/>
              <w:rPr>
                <w:lang w:val="ro-RO"/>
              </w:rPr>
            </w:pPr>
            <w:r>
              <w:rPr>
                <w:lang w:val="ro-RO"/>
              </w:rPr>
              <w:t>0</w:t>
            </w:r>
          </w:p>
        </w:tc>
        <w:tc>
          <w:tcPr>
            <w:tcW w:w="1254" w:type="dxa"/>
            <w:shd w:val="clear" w:color="auto" w:fill="auto"/>
            <w:vAlign w:val="bottom"/>
          </w:tcPr>
          <w:p w:rsidR="00B809CB" w:rsidRPr="00CE76F3" w:rsidRDefault="00B809CB" w:rsidP="00845630">
            <w:pPr>
              <w:tabs>
                <w:tab w:val="left" w:pos="744"/>
              </w:tabs>
              <w:ind w:right="218"/>
              <w:jc w:val="right"/>
              <w:rPr>
                <w:lang w:val="ro-RO"/>
              </w:rPr>
            </w:pPr>
            <w:r>
              <w:rPr>
                <w:lang w:val="ro-RO"/>
              </w:rPr>
              <w:t>2888,6</w:t>
            </w:r>
          </w:p>
          <w:p w:rsidR="00B809CB" w:rsidRPr="00CE76F3" w:rsidRDefault="00B809CB" w:rsidP="00845630">
            <w:pPr>
              <w:tabs>
                <w:tab w:val="left" w:pos="744"/>
              </w:tabs>
              <w:ind w:right="218"/>
              <w:jc w:val="right"/>
              <w:rPr>
                <w:lang w:val="ro-RO"/>
              </w:rPr>
            </w:pPr>
            <w:r>
              <w:rPr>
                <w:lang w:val="ro-RO"/>
              </w:rPr>
              <w:t>0</w:t>
            </w:r>
          </w:p>
        </w:tc>
        <w:tc>
          <w:tcPr>
            <w:tcW w:w="1179" w:type="dxa"/>
            <w:shd w:val="clear" w:color="auto" w:fill="auto"/>
            <w:vAlign w:val="bottom"/>
          </w:tcPr>
          <w:p w:rsidR="00B809CB" w:rsidRPr="00CE76F3" w:rsidRDefault="00B809CB" w:rsidP="00845630">
            <w:pPr>
              <w:tabs>
                <w:tab w:val="left" w:pos="744"/>
              </w:tabs>
              <w:ind w:right="218"/>
              <w:jc w:val="right"/>
              <w:rPr>
                <w:lang w:val="ro-RO"/>
              </w:rPr>
            </w:pPr>
          </w:p>
          <w:p w:rsidR="00B809CB" w:rsidRPr="00CE76F3" w:rsidRDefault="00B809CB" w:rsidP="00845630">
            <w:pPr>
              <w:tabs>
                <w:tab w:val="left" w:pos="744"/>
              </w:tabs>
              <w:ind w:right="218"/>
              <w:jc w:val="right"/>
              <w:rPr>
                <w:lang w:val="ro-RO"/>
              </w:rPr>
            </w:pPr>
            <w:r w:rsidRPr="00CE76F3">
              <w:rPr>
                <w:lang w:val="ro-RO"/>
              </w:rPr>
              <w:t>7</w:t>
            </w:r>
            <w:r>
              <w:rPr>
                <w:lang w:val="ro-RO"/>
              </w:rPr>
              <w:t>0</w:t>
            </w:r>
            <w:r w:rsidRPr="00CE76F3">
              <w:rPr>
                <w:lang w:val="ro-RO"/>
              </w:rPr>
              <w:t>,</w:t>
            </w:r>
            <w:r>
              <w:rPr>
                <w:lang w:val="ro-RO"/>
              </w:rPr>
              <w:t>5</w:t>
            </w:r>
          </w:p>
          <w:p w:rsidR="00B809CB" w:rsidRPr="00CE76F3" w:rsidRDefault="00B809CB" w:rsidP="00845630">
            <w:pPr>
              <w:tabs>
                <w:tab w:val="left" w:pos="744"/>
              </w:tabs>
              <w:ind w:right="218"/>
              <w:jc w:val="right"/>
              <w:rPr>
                <w:lang w:val="ro-RO"/>
              </w:rPr>
            </w:pPr>
            <w:r>
              <w:rPr>
                <w:lang w:val="ro-RO"/>
              </w:rPr>
              <w:t>0</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99,</w:t>
            </w:r>
            <w:r>
              <w:rPr>
                <w:lang w:val="ro-RO"/>
              </w:rPr>
              <w:t>9</w:t>
            </w:r>
          </w:p>
          <w:p w:rsidR="00B809CB" w:rsidRPr="00CE76F3" w:rsidRDefault="00B809CB" w:rsidP="00845630">
            <w:pPr>
              <w:tabs>
                <w:tab w:val="left" w:pos="744"/>
              </w:tabs>
              <w:ind w:right="218"/>
              <w:jc w:val="right"/>
              <w:rPr>
                <w:lang w:val="ro-RO"/>
              </w:rPr>
            </w:pPr>
            <w:r w:rsidRPr="00CE76F3">
              <w:rPr>
                <w:lang w:val="ro-RO"/>
              </w:rPr>
              <w:t>100,0</w:t>
            </w:r>
          </w:p>
        </w:tc>
      </w:tr>
      <w:tr w:rsidR="00B809CB" w:rsidRPr="00CE76F3" w:rsidTr="00845630">
        <w:trPr>
          <w:trHeight w:val="284"/>
          <w:jc w:val="center"/>
        </w:trPr>
        <w:tc>
          <w:tcPr>
            <w:tcW w:w="3468" w:type="dxa"/>
            <w:tcBorders>
              <w:right w:val="double" w:sz="4" w:space="0" w:color="auto"/>
            </w:tcBorders>
            <w:shd w:val="clear" w:color="auto" w:fill="auto"/>
          </w:tcPr>
          <w:p w:rsidR="00B809CB" w:rsidRPr="00CE76F3" w:rsidRDefault="00B809CB" w:rsidP="00845630">
            <w:pPr>
              <w:numPr>
                <w:ilvl w:val="0"/>
                <w:numId w:val="14"/>
              </w:numPr>
              <w:tabs>
                <w:tab w:val="clear" w:pos="720"/>
                <w:tab w:val="num" w:pos="360"/>
              </w:tabs>
              <w:spacing w:before="120"/>
              <w:ind w:left="360" w:hanging="240"/>
              <w:rPr>
                <w:lang w:val="ro-RO"/>
              </w:rPr>
            </w:pPr>
            <w:r w:rsidRPr="00CE76F3">
              <w:rPr>
                <w:lang w:val="ro-RO"/>
              </w:rPr>
              <w:t>Contribuţia asupra salariilor</w:t>
            </w:r>
          </w:p>
        </w:tc>
        <w:tc>
          <w:tcPr>
            <w:tcW w:w="1254" w:type="dxa"/>
            <w:tcBorders>
              <w:left w:val="double" w:sz="4" w:space="0" w:color="auto"/>
            </w:tcBorders>
            <w:shd w:val="clear" w:color="auto" w:fill="auto"/>
            <w:vAlign w:val="bottom"/>
          </w:tcPr>
          <w:p w:rsidR="00B809CB" w:rsidRPr="00CE76F3" w:rsidRDefault="00B809CB" w:rsidP="00845630">
            <w:pPr>
              <w:tabs>
                <w:tab w:val="left" w:pos="744"/>
              </w:tabs>
              <w:ind w:right="218"/>
              <w:jc w:val="right"/>
              <w:rPr>
                <w:lang w:val="ro-RO"/>
              </w:rPr>
            </w:pPr>
            <w:r>
              <w:rPr>
                <w:lang w:val="ro-RO"/>
              </w:rPr>
              <w:t>64,9</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1,</w:t>
            </w:r>
            <w:r>
              <w:rPr>
                <w:lang w:val="ro-RO"/>
              </w:rPr>
              <w:t>5</w:t>
            </w:r>
          </w:p>
        </w:tc>
        <w:tc>
          <w:tcPr>
            <w:tcW w:w="1254" w:type="dxa"/>
            <w:shd w:val="clear" w:color="auto" w:fill="auto"/>
            <w:vAlign w:val="bottom"/>
          </w:tcPr>
          <w:p w:rsidR="00B809CB" w:rsidRPr="00CE76F3" w:rsidRDefault="00B809CB" w:rsidP="00845630">
            <w:pPr>
              <w:tabs>
                <w:tab w:val="left" w:pos="744"/>
              </w:tabs>
              <w:ind w:right="218"/>
              <w:jc w:val="right"/>
              <w:rPr>
                <w:lang w:val="ro-RO"/>
              </w:rPr>
            </w:pPr>
            <w:r>
              <w:rPr>
                <w:lang w:val="ro-RO"/>
              </w:rPr>
              <w:t>64,9</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1,</w:t>
            </w:r>
            <w:r>
              <w:rPr>
                <w:lang w:val="ro-RO"/>
              </w:rPr>
              <w:t>6</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Pr>
                <w:lang w:val="ro-RO"/>
              </w:rPr>
              <w:t>100</w:t>
            </w:r>
            <w:r w:rsidRPr="00CE76F3">
              <w:rPr>
                <w:lang w:val="ro-RO"/>
              </w:rPr>
              <w:t>,</w:t>
            </w:r>
            <w:r>
              <w:rPr>
                <w:lang w:val="ro-RO"/>
              </w:rPr>
              <w:t>0</w:t>
            </w:r>
          </w:p>
        </w:tc>
      </w:tr>
      <w:tr w:rsidR="00B809CB" w:rsidRPr="00CE76F3" w:rsidTr="00845630">
        <w:trPr>
          <w:trHeight w:val="284"/>
          <w:jc w:val="center"/>
        </w:trPr>
        <w:tc>
          <w:tcPr>
            <w:tcW w:w="3468" w:type="dxa"/>
            <w:tcBorders>
              <w:right w:val="double" w:sz="4" w:space="0" w:color="auto"/>
            </w:tcBorders>
            <w:shd w:val="clear" w:color="auto" w:fill="auto"/>
          </w:tcPr>
          <w:p w:rsidR="00B809CB" w:rsidRPr="00CE76F3" w:rsidRDefault="00B809CB" w:rsidP="00845630">
            <w:pPr>
              <w:spacing w:before="120"/>
              <w:rPr>
                <w:b/>
                <w:lang w:val="ro-RO"/>
              </w:rPr>
            </w:pPr>
            <w:r w:rsidRPr="00CE76F3">
              <w:rPr>
                <w:b/>
                <w:lang w:val="ro-RO"/>
              </w:rPr>
              <w:t>Cheltuieli materiale şi servicii</w:t>
            </w:r>
          </w:p>
        </w:tc>
        <w:tc>
          <w:tcPr>
            <w:tcW w:w="1254" w:type="dxa"/>
            <w:tcBorders>
              <w:left w:val="double" w:sz="4" w:space="0" w:color="auto"/>
            </w:tcBorders>
            <w:shd w:val="clear" w:color="auto" w:fill="auto"/>
            <w:vAlign w:val="bottom"/>
          </w:tcPr>
          <w:p w:rsidR="00B809CB" w:rsidRPr="00CE76F3" w:rsidRDefault="00B809CB" w:rsidP="00845630">
            <w:pPr>
              <w:tabs>
                <w:tab w:val="left" w:pos="744"/>
              </w:tabs>
              <w:ind w:right="218"/>
              <w:jc w:val="right"/>
              <w:rPr>
                <w:b/>
                <w:lang w:val="ro-RO"/>
              </w:rPr>
            </w:pPr>
            <w:r>
              <w:rPr>
                <w:b/>
                <w:lang w:val="ro-RO"/>
              </w:rPr>
              <w:t>709,2</w:t>
            </w:r>
          </w:p>
        </w:tc>
        <w:tc>
          <w:tcPr>
            <w:tcW w:w="1179" w:type="dxa"/>
            <w:shd w:val="clear" w:color="auto" w:fill="auto"/>
            <w:vAlign w:val="bottom"/>
          </w:tcPr>
          <w:p w:rsidR="00B809CB" w:rsidRPr="00CE76F3" w:rsidRDefault="00B809CB" w:rsidP="00845630">
            <w:pPr>
              <w:tabs>
                <w:tab w:val="left" w:pos="744"/>
              </w:tabs>
              <w:ind w:right="218"/>
              <w:jc w:val="right"/>
              <w:rPr>
                <w:b/>
                <w:lang w:val="ro-RO"/>
              </w:rPr>
            </w:pPr>
            <w:r>
              <w:rPr>
                <w:b/>
                <w:lang w:val="ro-RO"/>
              </w:rPr>
              <w:t>16</w:t>
            </w:r>
            <w:r w:rsidRPr="00CE76F3">
              <w:rPr>
                <w:b/>
                <w:lang w:val="ro-RO"/>
              </w:rPr>
              <w:t>,</w:t>
            </w:r>
            <w:r>
              <w:rPr>
                <w:b/>
                <w:lang w:val="ro-RO"/>
              </w:rPr>
              <w:t>9</w:t>
            </w:r>
          </w:p>
        </w:tc>
        <w:tc>
          <w:tcPr>
            <w:tcW w:w="1254" w:type="dxa"/>
            <w:shd w:val="clear" w:color="auto" w:fill="auto"/>
            <w:vAlign w:val="bottom"/>
          </w:tcPr>
          <w:p w:rsidR="00B809CB" w:rsidRPr="00CE76F3" w:rsidRDefault="00B809CB" w:rsidP="00845630">
            <w:pPr>
              <w:tabs>
                <w:tab w:val="left" w:pos="744"/>
              </w:tabs>
              <w:ind w:right="218"/>
              <w:jc w:val="right"/>
              <w:rPr>
                <w:b/>
                <w:lang w:val="ro-RO"/>
              </w:rPr>
            </w:pPr>
            <w:r>
              <w:rPr>
                <w:b/>
                <w:lang w:val="ro-RO"/>
              </w:rPr>
              <w:t>692,1</w:t>
            </w:r>
          </w:p>
        </w:tc>
        <w:tc>
          <w:tcPr>
            <w:tcW w:w="1179" w:type="dxa"/>
            <w:shd w:val="clear" w:color="auto" w:fill="auto"/>
            <w:vAlign w:val="bottom"/>
          </w:tcPr>
          <w:p w:rsidR="00B809CB" w:rsidRPr="00CE76F3" w:rsidRDefault="00B809CB" w:rsidP="00845630">
            <w:pPr>
              <w:tabs>
                <w:tab w:val="left" w:pos="744"/>
              </w:tabs>
              <w:ind w:right="218"/>
              <w:jc w:val="right"/>
              <w:rPr>
                <w:b/>
                <w:lang w:val="ro-RO"/>
              </w:rPr>
            </w:pPr>
            <w:r w:rsidRPr="00CE76F3">
              <w:rPr>
                <w:b/>
                <w:lang w:val="ro-RO"/>
              </w:rPr>
              <w:t>1</w:t>
            </w:r>
            <w:r>
              <w:rPr>
                <w:b/>
                <w:lang w:val="ro-RO"/>
              </w:rPr>
              <w:t>6</w:t>
            </w:r>
            <w:r w:rsidRPr="00CE76F3">
              <w:rPr>
                <w:b/>
                <w:lang w:val="ro-RO"/>
              </w:rPr>
              <w:t>,</w:t>
            </w:r>
            <w:r>
              <w:rPr>
                <w:b/>
                <w:lang w:val="ro-RO"/>
              </w:rPr>
              <w:t>9</w:t>
            </w:r>
          </w:p>
        </w:tc>
        <w:tc>
          <w:tcPr>
            <w:tcW w:w="1179" w:type="dxa"/>
            <w:shd w:val="clear" w:color="auto" w:fill="auto"/>
            <w:vAlign w:val="bottom"/>
          </w:tcPr>
          <w:p w:rsidR="00B809CB" w:rsidRPr="00CE76F3" w:rsidRDefault="00B809CB" w:rsidP="00845630">
            <w:pPr>
              <w:tabs>
                <w:tab w:val="left" w:pos="744"/>
              </w:tabs>
              <w:ind w:right="218"/>
              <w:jc w:val="right"/>
              <w:rPr>
                <w:b/>
                <w:lang w:val="ro-RO"/>
              </w:rPr>
            </w:pPr>
            <w:r>
              <w:rPr>
                <w:b/>
                <w:lang w:val="ro-RO"/>
              </w:rPr>
              <w:t>97</w:t>
            </w:r>
            <w:r w:rsidRPr="00CE76F3">
              <w:rPr>
                <w:b/>
                <w:lang w:val="ro-RO"/>
              </w:rPr>
              <w:t>,</w:t>
            </w:r>
            <w:r>
              <w:rPr>
                <w:b/>
                <w:lang w:val="ro-RO"/>
              </w:rPr>
              <w:t>6</w:t>
            </w:r>
          </w:p>
        </w:tc>
      </w:tr>
      <w:tr w:rsidR="00B809CB" w:rsidRPr="00CE76F3" w:rsidTr="00845630">
        <w:trPr>
          <w:trHeight w:val="284"/>
          <w:jc w:val="center"/>
        </w:trPr>
        <w:tc>
          <w:tcPr>
            <w:tcW w:w="3468" w:type="dxa"/>
            <w:tcBorders>
              <w:right w:val="double" w:sz="4" w:space="0" w:color="auto"/>
            </w:tcBorders>
            <w:shd w:val="clear" w:color="auto" w:fill="auto"/>
          </w:tcPr>
          <w:p w:rsidR="00B809CB" w:rsidRPr="00CE76F3" w:rsidRDefault="00B809CB" w:rsidP="00845630">
            <w:pPr>
              <w:numPr>
                <w:ilvl w:val="0"/>
                <w:numId w:val="14"/>
              </w:numPr>
              <w:tabs>
                <w:tab w:val="clear" w:pos="720"/>
                <w:tab w:val="num" w:pos="360"/>
              </w:tabs>
              <w:spacing w:before="120"/>
              <w:ind w:left="360" w:hanging="240"/>
              <w:rPr>
                <w:lang w:val="ro-RO"/>
              </w:rPr>
            </w:pPr>
            <w:r w:rsidRPr="00CE76F3">
              <w:rPr>
                <w:lang w:val="ro-RO"/>
              </w:rPr>
              <w:t>Bunuri şi servicii</w:t>
            </w:r>
          </w:p>
        </w:tc>
        <w:tc>
          <w:tcPr>
            <w:tcW w:w="1254" w:type="dxa"/>
            <w:tcBorders>
              <w:left w:val="double" w:sz="4" w:space="0" w:color="auto"/>
            </w:tcBorders>
            <w:shd w:val="clear" w:color="auto" w:fill="auto"/>
            <w:vAlign w:val="bottom"/>
          </w:tcPr>
          <w:p w:rsidR="00B809CB" w:rsidRPr="00CE76F3" w:rsidRDefault="00B809CB" w:rsidP="00845630">
            <w:pPr>
              <w:tabs>
                <w:tab w:val="left" w:pos="744"/>
              </w:tabs>
              <w:ind w:right="218"/>
              <w:jc w:val="right"/>
              <w:rPr>
                <w:lang w:val="ro-RO"/>
              </w:rPr>
            </w:pPr>
            <w:r>
              <w:rPr>
                <w:lang w:val="ro-RO"/>
              </w:rPr>
              <w:t>252,1</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Pr>
                <w:lang w:val="ro-RO"/>
              </w:rPr>
              <w:t>6</w:t>
            </w:r>
            <w:r w:rsidRPr="00CE76F3">
              <w:rPr>
                <w:lang w:val="ro-RO"/>
              </w:rPr>
              <w:t>,</w:t>
            </w:r>
            <w:r>
              <w:rPr>
                <w:lang w:val="ro-RO"/>
              </w:rPr>
              <w:t>0</w:t>
            </w:r>
          </w:p>
        </w:tc>
        <w:tc>
          <w:tcPr>
            <w:tcW w:w="1254" w:type="dxa"/>
            <w:shd w:val="clear" w:color="auto" w:fill="auto"/>
            <w:vAlign w:val="bottom"/>
          </w:tcPr>
          <w:p w:rsidR="00B809CB" w:rsidRPr="00CE76F3" w:rsidRDefault="00B809CB" w:rsidP="00845630">
            <w:pPr>
              <w:tabs>
                <w:tab w:val="left" w:pos="744"/>
              </w:tabs>
              <w:ind w:right="218"/>
              <w:jc w:val="right"/>
              <w:rPr>
                <w:lang w:val="ro-RO"/>
              </w:rPr>
            </w:pPr>
            <w:r>
              <w:rPr>
                <w:lang w:val="ro-RO"/>
              </w:rPr>
              <w:t>236,4</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Pr>
                <w:lang w:val="ro-RO"/>
              </w:rPr>
              <w:t>5</w:t>
            </w:r>
            <w:r w:rsidRPr="00CE76F3">
              <w:rPr>
                <w:lang w:val="ro-RO"/>
              </w:rPr>
              <w:t>,</w:t>
            </w:r>
            <w:r>
              <w:rPr>
                <w:lang w:val="ro-RO"/>
              </w:rPr>
              <w:t>8</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Pr>
                <w:lang w:val="ro-RO"/>
              </w:rPr>
              <w:t>96</w:t>
            </w:r>
            <w:r w:rsidRPr="00CE76F3">
              <w:rPr>
                <w:lang w:val="ro-RO"/>
              </w:rPr>
              <w:t>,</w:t>
            </w:r>
            <w:r>
              <w:rPr>
                <w:lang w:val="ro-RO"/>
              </w:rPr>
              <w:t>7</w:t>
            </w:r>
          </w:p>
        </w:tc>
      </w:tr>
      <w:tr w:rsidR="00B809CB" w:rsidRPr="00CE76F3" w:rsidTr="00845630">
        <w:trPr>
          <w:trHeight w:val="284"/>
          <w:jc w:val="center"/>
        </w:trPr>
        <w:tc>
          <w:tcPr>
            <w:tcW w:w="3468" w:type="dxa"/>
            <w:tcBorders>
              <w:right w:val="double" w:sz="4" w:space="0" w:color="auto"/>
            </w:tcBorders>
            <w:shd w:val="clear" w:color="auto" w:fill="auto"/>
          </w:tcPr>
          <w:p w:rsidR="00B809CB" w:rsidRPr="00CE76F3" w:rsidRDefault="00B809CB" w:rsidP="00845630">
            <w:pPr>
              <w:numPr>
                <w:ilvl w:val="0"/>
                <w:numId w:val="14"/>
              </w:numPr>
              <w:tabs>
                <w:tab w:val="clear" w:pos="720"/>
                <w:tab w:val="num" w:pos="360"/>
              </w:tabs>
              <w:spacing w:before="120"/>
              <w:ind w:left="360" w:hanging="240"/>
              <w:rPr>
                <w:lang w:val="ro-RO"/>
              </w:rPr>
            </w:pPr>
            <w:r w:rsidRPr="00CE76F3">
              <w:rPr>
                <w:lang w:val="ro-RO"/>
              </w:rPr>
              <w:t>Reparaţii curente</w:t>
            </w:r>
          </w:p>
        </w:tc>
        <w:tc>
          <w:tcPr>
            <w:tcW w:w="1254" w:type="dxa"/>
            <w:tcBorders>
              <w:left w:val="double" w:sz="4" w:space="0" w:color="auto"/>
            </w:tcBorders>
            <w:shd w:val="clear" w:color="auto" w:fill="auto"/>
            <w:vAlign w:val="bottom"/>
          </w:tcPr>
          <w:p w:rsidR="00B809CB" w:rsidRPr="00CE76F3" w:rsidRDefault="00B809CB" w:rsidP="00845630">
            <w:pPr>
              <w:tabs>
                <w:tab w:val="left" w:pos="744"/>
              </w:tabs>
              <w:ind w:right="218"/>
              <w:jc w:val="right"/>
              <w:rPr>
                <w:lang w:val="ro-RO"/>
              </w:rPr>
            </w:pPr>
            <w:r w:rsidRPr="00CE76F3">
              <w:rPr>
                <w:lang w:val="ro-RO"/>
              </w:rPr>
              <w:t>-</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w:t>
            </w:r>
          </w:p>
        </w:tc>
        <w:tc>
          <w:tcPr>
            <w:tcW w:w="1254"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w:t>
            </w:r>
          </w:p>
        </w:tc>
      </w:tr>
      <w:tr w:rsidR="00B809CB" w:rsidRPr="00CE76F3" w:rsidTr="00845630">
        <w:trPr>
          <w:trHeight w:val="284"/>
          <w:jc w:val="center"/>
        </w:trPr>
        <w:tc>
          <w:tcPr>
            <w:tcW w:w="3468" w:type="dxa"/>
            <w:tcBorders>
              <w:right w:val="double" w:sz="4" w:space="0" w:color="auto"/>
            </w:tcBorders>
            <w:shd w:val="clear" w:color="auto" w:fill="auto"/>
          </w:tcPr>
          <w:p w:rsidR="00B809CB" w:rsidRPr="00CE76F3" w:rsidRDefault="00B809CB" w:rsidP="00845630">
            <w:pPr>
              <w:numPr>
                <w:ilvl w:val="0"/>
                <w:numId w:val="14"/>
              </w:numPr>
              <w:tabs>
                <w:tab w:val="clear" w:pos="720"/>
                <w:tab w:val="num" w:pos="360"/>
              </w:tabs>
              <w:spacing w:before="120"/>
              <w:ind w:left="360" w:hanging="240"/>
              <w:rPr>
                <w:lang w:val="ro-RO"/>
              </w:rPr>
            </w:pPr>
            <w:r w:rsidRPr="00CE76F3">
              <w:rPr>
                <w:lang w:val="ro-RO"/>
              </w:rPr>
              <w:t>Obiecte de inventar</w:t>
            </w:r>
          </w:p>
        </w:tc>
        <w:tc>
          <w:tcPr>
            <w:tcW w:w="1254" w:type="dxa"/>
            <w:tcBorders>
              <w:left w:val="double" w:sz="4" w:space="0" w:color="auto"/>
            </w:tcBorders>
            <w:shd w:val="clear" w:color="auto" w:fill="auto"/>
            <w:vAlign w:val="bottom"/>
          </w:tcPr>
          <w:p w:rsidR="00B809CB" w:rsidRPr="00CE76F3" w:rsidRDefault="00B809CB" w:rsidP="00845630">
            <w:pPr>
              <w:tabs>
                <w:tab w:val="left" w:pos="744"/>
              </w:tabs>
              <w:ind w:right="218"/>
              <w:jc w:val="right"/>
              <w:rPr>
                <w:lang w:val="ro-RO"/>
              </w:rPr>
            </w:pPr>
            <w:r>
              <w:rPr>
                <w:lang w:val="ro-RO"/>
              </w:rPr>
              <w:t>8,3</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w:t>
            </w:r>
            <w:r>
              <w:rPr>
                <w:lang w:val="ro-RO"/>
              </w:rPr>
              <w:t>2</w:t>
            </w:r>
          </w:p>
        </w:tc>
        <w:tc>
          <w:tcPr>
            <w:tcW w:w="1254" w:type="dxa"/>
            <w:shd w:val="clear" w:color="auto" w:fill="auto"/>
            <w:vAlign w:val="bottom"/>
          </w:tcPr>
          <w:p w:rsidR="00B809CB" w:rsidRPr="00CE76F3" w:rsidRDefault="00B809CB" w:rsidP="00845630">
            <w:pPr>
              <w:tabs>
                <w:tab w:val="left" w:pos="744"/>
              </w:tabs>
              <w:ind w:right="218"/>
              <w:jc w:val="right"/>
              <w:rPr>
                <w:lang w:val="ro-RO"/>
              </w:rPr>
            </w:pPr>
            <w:r>
              <w:rPr>
                <w:lang w:val="ro-RO"/>
              </w:rPr>
              <w:t>8,3</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Pr>
                <w:lang w:val="ro-RO"/>
              </w:rPr>
              <w:t>0</w:t>
            </w:r>
            <w:r w:rsidRPr="00CE76F3">
              <w:rPr>
                <w:lang w:val="ro-RO"/>
              </w:rPr>
              <w:t>,</w:t>
            </w:r>
            <w:r>
              <w:rPr>
                <w:lang w:val="ro-RO"/>
              </w:rPr>
              <w:t>2</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Pr>
                <w:lang w:val="ro-RO"/>
              </w:rPr>
              <w:t>100,0</w:t>
            </w:r>
          </w:p>
        </w:tc>
      </w:tr>
      <w:tr w:rsidR="00B809CB" w:rsidRPr="00CE76F3" w:rsidTr="00845630">
        <w:trPr>
          <w:trHeight w:val="284"/>
          <w:jc w:val="center"/>
        </w:trPr>
        <w:tc>
          <w:tcPr>
            <w:tcW w:w="3468" w:type="dxa"/>
            <w:tcBorders>
              <w:right w:val="double" w:sz="4" w:space="0" w:color="auto"/>
            </w:tcBorders>
            <w:shd w:val="clear" w:color="auto" w:fill="auto"/>
          </w:tcPr>
          <w:p w:rsidR="00B809CB" w:rsidRPr="00CE76F3" w:rsidRDefault="00B809CB" w:rsidP="00845630">
            <w:pPr>
              <w:numPr>
                <w:ilvl w:val="0"/>
                <w:numId w:val="14"/>
              </w:numPr>
              <w:tabs>
                <w:tab w:val="clear" w:pos="720"/>
                <w:tab w:val="num" w:pos="360"/>
              </w:tabs>
              <w:spacing w:before="120"/>
              <w:ind w:left="360" w:hanging="240"/>
              <w:rPr>
                <w:lang w:val="ro-RO"/>
              </w:rPr>
            </w:pPr>
            <w:r w:rsidRPr="00CE76F3">
              <w:rPr>
                <w:lang w:val="ro-RO"/>
              </w:rPr>
              <w:t>Deplasări şi detaşări</w:t>
            </w:r>
          </w:p>
        </w:tc>
        <w:tc>
          <w:tcPr>
            <w:tcW w:w="1254" w:type="dxa"/>
            <w:tcBorders>
              <w:left w:val="double" w:sz="4" w:space="0" w:color="auto"/>
            </w:tcBorders>
            <w:shd w:val="clear" w:color="auto" w:fill="auto"/>
            <w:vAlign w:val="bottom"/>
          </w:tcPr>
          <w:p w:rsidR="00B809CB" w:rsidRPr="00CE76F3" w:rsidRDefault="00B809CB" w:rsidP="00845630">
            <w:pPr>
              <w:tabs>
                <w:tab w:val="left" w:pos="744"/>
              </w:tabs>
              <w:ind w:right="218"/>
              <w:jc w:val="right"/>
              <w:rPr>
                <w:lang w:val="ro-RO"/>
              </w:rPr>
            </w:pPr>
            <w:r>
              <w:rPr>
                <w:lang w:val="ro-RO"/>
              </w:rPr>
              <w:t>1</w:t>
            </w:r>
            <w:r w:rsidRPr="00CE76F3">
              <w:rPr>
                <w:lang w:val="ro-RO"/>
              </w:rPr>
              <w:t>,0</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0,0</w:t>
            </w:r>
          </w:p>
        </w:tc>
        <w:tc>
          <w:tcPr>
            <w:tcW w:w="1254" w:type="dxa"/>
            <w:shd w:val="clear" w:color="auto" w:fill="auto"/>
            <w:vAlign w:val="bottom"/>
          </w:tcPr>
          <w:p w:rsidR="00B809CB" w:rsidRPr="00CE76F3" w:rsidRDefault="00B809CB" w:rsidP="00845630">
            <w:pPr>
              <w:tabs>
                <w:tab w:val="left" w:pos="744"/>
              </w:tabs>
              <w:ind w:right="218"/>
              <w:jc w:val="right"/>
              <w:rPr>
                <w:lang w:val="ro-RO"/>
              </w:rPr>
            </w:pPr>
            <w:r>
              <w:rPr>
                <w:lang w:val="ro-RO"/>
              </w:rPr>
              <w:t>0,9</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0,0</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Pr>
                <w:lang w:val="ro-RO"/>
              </w:rPr>
              <w:t>9</w:t>
            </w:r>
            <w:r w:rsidRPr="00CE76F3">
              <w:rPr>
                <w:lang w:val="ro-RO"/>
              </w:rPr>
              <w:t>0,0</w:t>
            </w:r>
          </w:p>
        </w:tc>
      </w:tr>
      <w:tr w:rsidR="00B809CB" w:rsidRPr="00CE76F3" w:rsidTr="00845630">
        <w:trPr>
          <w:trHeight w:val="284"/>
          <w:jc w:val="center"/>
        </w:trPr>
        <w:tc>
          <w:tcPr>
            <w:tcW w:w="3468" w:type="dxa"/>
            <w:tcBorders>
              <w:right w:val="double" w:sz="4" w:space="0" w:color="auto"/>
            </w:tcBorders>
            <w:shd w:val="clear" w:color="auto" w:fill="auto"/>
          </w:tcPr>
          <w:p w:rsidR="00B809CB" w:rsidRPr="00CE76F3" w:rsidRDefault="00B809CB" w:rsidP="00845630">
            <w:pPr>
              <w:numPr>
                <w:ilvl w:val="0"/>
                <w:numId w:val="14"/>
              </w:numPr>
              <w:tabs>
                <w:tab w:val="clear" w:pos="720"/>
                <w:tab w:val="num" w:pos="360"/>
              </w:tabs>
              <w:spacing w:before="120"/>
              <w:ind w:left="360" w:hanging="240"/>
              <w:rPr>
                <w:lang w:val="ro-RO"/>
              </w:rPr>
            </w:pPr>
            <w:r w:rsidRPr="00CE76F3">
              <w:rPr>
                <w:lang w:val="ro-RO"/>
              </w:rPr>
              <w:t>Cărţi şi publicaţii</w:t>
            </w:r>
          </w:p>
        </w:tc>
        <w:tc>
          <w:tcPr>
            <w:tcW w:w="1254" w:type="dxa"/>
            <w:tcBorders>
              <w:left w:val="double" w:sz="4" w:space="0" w:color="auto"/>
            </w:tcBorders>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0,0</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0,0</w:t>
            </w:r>
          </w:p>
        </w:tc>
        <w:tc>
          <w:tcPr>
            <w:tcW w:w="1254"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0,0</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0,0</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100,0</w:t>
            </w:r>
          </w:p>
        </w:tc>
      </w:tr>
      <w:tr w:rsidR="00B809CB" w:rsidRPr="00CE76F3" w:rsidTr="00845630">
        <w:trPr>
          <w:trHeight w:val="284"/>
          <w:jc w:val="center"/>
        </w:trPr>
        <w:tc>
          <w:tcPr>
            <w:tcW w:w="3468" w:type="dxa"/>
            <w:tcBorders>
              <w:right w:val="double" w:sz="4" w:space="0" w:color="auto"/>
            </w:tcBorders>
            <w:shd w:val="clear" w:color="auto" w:fill="auto"/>
          </w:tcPr>
          <w:p w:rsidR="00B809CB" w:rsidRPr="00CE76F3" w:rsidRDefault="00B809CB" w:rsidP="00845630">
            <w:pPr>
              <w:numPr>
                <w:ilvl w:val="0"/>
                <w:numId w:val="14"/>
              </w:numPr>
              <w:tabs>
                <w:tab w:val="clear" w:pos="720"/>
                <w:tab w:val="num" w:pos="360"/>
              </w:tabs>
              <w:spacing w:before="120"/>
              <w:ind w:left="360" w:hanging="240"/>
              <w:rPr>
                <w:lang w:val="ro-RO"/>
              </w:rPr>
            </w:pPr>
            <w:r w:rsidRPr="00CE76F3">
              <w:rPr>
                <w:lang w:val="ro-RO"/>
              </w:rPr>
              <w:t>Pregătire profesională</w:t>
            </w:r>
          </w:p>
        </w:tc>
        <w:tc>
          <w:tcPr>
            <w:tcW w:w="1254" w:type="dxa"/>
            <w:tcBorders>
              <w:left w:val="double" w:sz="4" w:space="0" w:color="auto"/>
            </w:tcBorders>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0,0</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0,0</w:t>
            </w:r>
          </w:p>
        </w:tc>
        <w:tc>
          <w:tcPr>
            <w:tcW w:w="1254"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0,0</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0,0</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100,0</w:t>
            </w:r>
          </w:p>
        </w:tc>
      </w:tr>
      <w:tr w:rsidR="00B809CB" w:rsidRPr="00CE76F3" w:rsidTr="00845630">
        <w:trPr>
          <w:jc w:val="center"/>
        </w:trPr>
        <w:tc>
          <w:tcPr>
            <w:tcW w:w="3468" w:type="dxa"/>
            <w:tcBorders>
              <w:right w:val="double" w:sz="4" w:space="0" w:color="auto"/>
            </w:tcBorders>
            <w:shd w:val="clear" w:color="auto" w:fill="auto"/>
          </w:tcPr>
          <w:p w:rsidR="00B809CB" w:rsidRPr="00CE76F3" w:rsidRDefault="00B809CB" w:rsidP="00845630">
            <w:pPr>
              <w:numPr>
                <w:ilvl w:val="0"/>
                <w:numId w:val="14"/>
              </w:numPr>
              <w:tabs>
                <w:tab w:val="clear" w:pos="720"/>
                <w:tab w:val="num" w:pos="360"/>
              </w:tabs>
              <w:spacing w:before="120"/>
              <w:ind w:left="360" w:hanging="240"/>
              <w:rPr>
                <w:lang w:val="ro-RO"/>
              </w:rPr>
            </w:pPr>
            <w:r w:rsidRPr="00CE76F3">
              <w:rPr>
                <w:lang w:val="ro-RO"/>
              </w:rPr>
              <w:t>Protecţia muncii</w:t>
            </w:r>
          </w:p>
        </w:tc>
        <w:tc>
          <w:tcPr>
            <w:tcW w:w="1254" w:type="dxa"/>
            <w:tcBorders>
              <w:left w:val="double" w:sz="4" w:space="0" w:color="auto"/>
            </w:tcBorders>
            <w:shd w:val="clear" w:color="auto" w:fill="auto"/>
            <w:vAlign w:val="bottom"/>
          </w:tcPr>
          <w:p w:rsidR="00B809CB" w:rsidRPr="00CE76F3" w:rsidRDefault="00B809CB" w:rsidP="00845630">
            <w:pPr>
              <w:tabs>
                <w:tab w:val="left" w:pos="744"/>
              </w:tabs>
              <w:ind w:right="218"/>
              <w:jc w:val="right"/>
              <w:rPr>
                <w:lang w:val="ro-RO"/>
              </w:rPr>
            </w:pPr>
            <w:r>
              <w:rPr>
                <w:lang w:val="ro-RO"/>
              </w:rPr>
              <w:t>5,0</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0,1</w:t>
            </w:r>
          </w:p>
        </w:tc>
        <w:tc>
          <w:tcPr>
            <w:tcW w:w="1254" w:type="dxa"/>
            <w:shd w:val="clear" w:color="auto" w:fill="auto"/>
            <w:vAlign w:val="bottom"/>
          </w:tcPr>
          <w:p w:rsidR="00B809CB" w:rsidRPr="00CE76F3" w:rsidRDefault="00B809CB" w:rsidP="00845630">
            <w:pPr>
              <w:tabs>
                <w:tab w:val="left" w:pos="744"/>
              </w:tabs>
              <w:ind w:right="218"/>
              <w:jc w:val="right"/>
              <w:rPr>
                <w:lang w:val="ro-RO"/>
              </w:rPr>
            </w:pPr>
            <w:r>
              <w:rPr>
                <w:lang w:val="ro-RO"/>
              </w:rPr>
              <w:t>5,0</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0,1</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100,0</w:t>
            </w:r>
          </w:p>
        </w:tc>
      </w:tr>
      <w:tr w:rsidR="00B809CB" w:rsidRPr="00CE76F3" w:rsidTr="00845630">
        <w:trPr>
          <w:jc w:val="center"/>
        </w:trPr>
        <w:tc>
          <w:tcPr>
            <w:tcW w:w="3468" w:type="dxa"/>
            <w:tcBorders>
              <w:right w:val="double" w:sz="4" w:space="0" w:color="auto"/>
            </w:tcBorders>
            <w:shd w:val="clear" w:color="auto" w:fill="auto"/>
          </w:tcPr>
          <w:p w:rsidR="00B809CB" w:rsidRPr="00CE76F3" w:rsidRDefault="00B809CB" w:rsidP="00845630">
            <w:pPr>
              <w:numPr>
                <w:ilvl w:val="0"/>
                <w:numId w:val="14"/>
              </w:numPr>
              <w:tabs>
                <w:tab w:val="clear" w:pos="720"/>
                <w:tab w:val="num" w:pos="360"/>
              </w:tabs>
              <w:spacing w:before="120"/>
              <w:ind w:left="360" w:hanging="240"/>
              <w:rPr>
                <w:lang w:val="ro-RO"/>
              </w:rPr>
            </w:pPr>
            <w:r w:rsidRPr="00CE76F3">
              <w:rPr>
                <w:lang w:val="ro-RO"/>
              </w:rPr>
              <w:t>Alte cheltuieli</w:t>
            </w:r>
          </w:p>
        </w:tc>
        <w:tc>
          <w:tcPr>
            <w:tcW w:w="1254" w:type="dxa"/>
            <w:tcBorders>
              <w:left w:val="double" w:sz="4" w:space="0" w:color="auto"/>
            </w:tcBorders>
            <w:shd w:val="clear" w:color="auto" w:fill="auto"/>
            <w:vAlign w:val="bottom"/>
          </w:tcPr>
          <w:p w:rsidR="00B809CB" w:rsidRPr="00CE76F3" w:rsidRDefault="00B809CB" w:rsidP="00845630">
            <w:pPr>
              <w:tabs>
                <w:tab w:val="left" w:pos="744"/>
              </w:tabs>
              <w:ind w:right="218"/>
              <w:jc w:val="right"/>
              <w:rPr>
                <w:lang w:val="ro-RO"/>
              </w:rPr>
            </w:pPr>
            <w:r>
              <w:rPr>
                <w:lang w:val="ro-RO"/>
              </w:rPr>
              <w:t>442,8</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Pr>
                <w:lang w:val="ro-RO"/>
              </w:rPr>
              <w:t>10</w:t>
            </w:r>
            <w:r w:rsidRPr="00CE76F3">
              <w:rPr>
                <w:lang w:val="ro-RO"/>
              </w:rPr>
              <w:t>,</w:t>
            </w:r>
            <w:r>
              <w:rPr>
                <w:lang w:val="ro-RO"/>
              </w:rPr>
              <w:t>6</w:t>
            </w:r>
          </w:p>
        </w:tc>
        <w:tc>
          <w:tcPr>
            <w:tcW w:w="1254" w:type="dxa"/>
            <w:shd w:val="clear" w:color="auto" w:fill="auto"/>
            <w:vAlign w:val="bottom"/>
          </w:tcPr>
          <w:p w:rsidR="00B809CB" w:rsidRPr="00CE76F3" w:rsidRDefault="00B809CB" w:rsidP="00845630">
            <w:pPr>
              <w:tabs>
                <w:tab w:val="left" w:pos="744"/>
              </w:tabs>
              <w:ind w:right="218"/>
              <w:jc w:val="right"/>
              <w:rPr>
                <w:lang w:val="ro-RO"/>
              </w:rPr>
            </w:pPr>
            <w:r>
              <w:rPr>
                <w:lang w:val="ro-RO"/>
              </w:rPr>
              <w:t>441,5</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Pr>
                <w:lang w:val="ro-RO"/>
              </w:rPr>
              <w:t>10,8</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Pr>
                <w:lang w:val="ro-RO"/>
              </w:rPr>
              <w:t>99</w:t>
            </w:r>
            <w:r w:rsidRPr="00CE76F3">
              <w:rPr>
                <w:lang w:val="ro-RO"/>
              </w:rPr>
              <w:t>,</w:t>
            </w:r>
            <w:r>
              <w:rPr>
                <w:lang w:val="ro-RO"/>
              </w:rPr>
              <w:t>7</w:t>
            </w:r>
          </w:p>
        </w:tc>
      </w:tr>
      <w:tr w:rsidR="00B809CB" w:rsidRPr="00CE76F3" w:rsidTr="00845630">
        <w:trPr>
          <w:jc w:val="center"/>
        </w:trPr>
        <w:tc>
          <w:tcPr>
            <w:tcW w:w="3468" w:type="dxa"/>
            <w:tcBorders>
              <w:right w:val="double" w:sz="4" w:space="0" w:color="auto"/>
            </w:tcBorders>
            <w:shd w:val="clear" w:color="auto" w:fill="auto"/>
          </w:tcPr>
          <w:p w:rsidR="00B809CB" w:rsidRPr="00CE76F3" w:rsidRDefault="00B809CB" w:rsidP="00845630">
            <w:pPr>
              <w:numPr>
                <w:ilvl w:val="0"/>
                <w:numId w:val="14"/>
              </w:numPr>
              <w:tabs>
                <w:tab w:val="clear" w:pos="720"/>
                <w:tab w:val="num" w:pos="360"/>
              </w:tabs>
              <w:spacing w:before="120"/>
              <w:ind w:left="360" w:hanging="240"/>
              <w:rPr>
                <w:lang w:val="ro-RO"/>
              </w:rPr>
            </w:pPr>
            <w:r w:rsidRPr="00CE76F3">
              <w:rPr>
                <w:lang w:val="ro-RO"/>
              </w:rPr>
              <w:t>Alte activități și instrumente postaderare</w:t>
            </w:r>
          </w:p>
        </w:tc>
        <w:tc>
          <w:tcPr>
            <w:tcW w:w="1254" w:type="dxa"/>
            <w:tcBorders>
              <w:left w:val="double" w:sz="4" w:space="0" w:color="auto"/>
            </w:tcBorders>
            <w:shd w:val="clear" w:color="auto" w:fill="auto"/>
            <w:vAlign w:val="bottom"/>
          </w:tcPr>
          <w:p w:rsidR="00B809CB" w:rsidRPr="00CE76F3" w:rsidRDefault="00B809CB" w:rsidP="00845630">
            <w:pPr>
              <w:tabs>
                <w:tab w:val="left" w:pos="744"/>
              </w:tabs>
              <w:ind w:right="218"/>
              <w:jc w:val="right"/>
              <w:rPr>
                <w:lang w:val="ro-RO"/>
              </w:rPr>
            </w:pPr>
            <w:r w:rsidRPr="00CE76F3">
              <w:rPr>
                <w:lang w:val="ro-RO"/>
              </w:rPr>
              <w:t>-</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w:t>
            </w:r>
          </w:p>
        </w:tc>
        <w:tc>
          <w:tcPr>
            <w:tcW w:w="1254"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w:t>
            </w:r>
          </w:p>
        </w:tc>
      </w:tr>
      <w:tr w:rsidR="00B809CB" w:rsidRPr="00CE76F3" w:rsidTr="00845630">
        <w:trPr>
          <w:jc w:val="center"/>
        </w:trPr>
        <w:tc>
          <w:tcPr>
            <w:tcW w:w="3468" w:type="dxa"/>
            <w:tcBorders>
              <w:right w:val="double" w:sz="4" w:space="0" w:color="auto"/>
            </w:tcBorders>
            <w:shd w:val="clear" w:color="auto" w:fill="auto"/>
          </w:tcPr>
          <w:p w:rsidR="00B809CB" w:rsidRPr="00F201AE" w:rsidRDefault="00B809CB" w:rsidP="00845630">
            <w:pPr>
              <w:numPr>
                <w:ilvl w:val="0"/>
                <w:numId w:val="14"/>
              </w:numPr>
              <w:tabs>
                <w:tab w:val="clear" w:pos="720"/>
                <w:tab w:val="num" w:pos="360"/>
              </w:tabs>
              <w:spacing w:before="120"/>
              <w:ind w:left="360" w:hanging="240"/>
              <w:rPr>
                <w:b/>
                <w:lang w:val="ro-RO"/>
              </w:rPr>
            </w:pPr>
            <w:r w:rsidRPr="00F201AE">
              <w:rPr>
                <w:b/>
                <w:lang w:val="ro-RO"/>
              </w:rPr>
              <w:t>Finanțare națională</w:t>
            </w:r>
          </w:p>
        </w:tc>
        <w:tc>
          <w:tcPr>
            <w:tcW w:w="1254" w:type="dxa"/>
            <w:tcBorders>
              <w:left w:val="double" w:sz="4" w:space="0" w:color="auto"/>
            </w:tcBorders>
            <w:shd w:val="clear" w:color="auto" w:fill="auto"/>
            <w:vAlign w:val="bottom"/>
          </w:tcPr>
          <w:p w:rsidR="00B809CB" w:rsidRPr="00F201AE" w:rsidRDefault="00B809CB" w:rsidP="00845630">
            <w:pPr>
              <w:tabs>
                <w:tab w:val="left" w:pos="744"/>
              </w:tabs>
              <w:ind w:right="218"/>
              <w:jc w:val="right"/>
              <w:rPr>
                <w:b/>
                <w:lang w:val="ro-RO"/>
              </w:rPr>
            </w:pPr>
            <w:r w:rsidRPr="00F201AE">
              <w:rPr>
                <w:b/>
                <w:lang w:val="ro-RO"/>
              </w:rPr>
              <w:t>375,6</w:t>
            </w:r>
          </w:p>
        </w:tc>
        <w:tc>
          <w:tcPr>
            <w:tcW w:w="1179" w:type="dxa"/>
            <w:shd w:val="clear" w:color="auto" w:fill="auto"/>
            <w:vAlign w:val="bottom"/>
          </w:tcPr>
          <w:p w:rsidR="00B809CB" w:rsidRPr="00F201AE" w:rsidRDefault="00B809CB" w:rsidP="00845630">
            <w:pPr>
              <w:tabs>
                <w:tab w:val="left" w:pos="744"/>
              </w:tabs>
              <w:ind w:right="218"/>
              <w:jc w:val="right"/>
              <w:rPr>
                <w:b/>
                <w:lang w:val="ro-RO"/>
              </w:rPr>
            </w:pPr>
            <w:r w:rsidRPr="00F201AE">
              <w:rPr>
                <w:b/>
                <w:lang w:val="ro-RO"/>
              </w:rPr>
              <w:t>9,0</w:t>
            </w:r>
          </w:p>
        </w:tc>
        <w:tc>
          <w:tcPr>
            <w:tcW w:w="1254" w:type="dxa"/>
            <w:shd w:val="clear" w:color="auto" w:fill="auto"/>
            <w:vAlign w:val="bottom"/>
          </w:tcPr>
          <w:p w:rsidR="00B809CB" w:rsidRPr="00F201AE" w:rsidRDefault="00B809CB" w:rsidP="00845630">
            <w:pPr>
              <w:tabs>
                <w:tab w:val="left" w:pos="744"/>
              </w:tabs>
              <w:ind w:right="218"/>
              <w:jc w:val="right"/>
              <w:rPr>
                <w:b/>
                <w:lang w:val="ro-RO"/>
              </w:rPr>
            </w:pPr>
            <w:r>
              <w:rPr>
                <w:b/>
                <w:lang w:val="ro-RO"/>
              </w:rPr>
              <w:t>298,8</w:t>
            </w:r>
          </w:p>
        </w:tc>
        <w:tc>
          <w:tcPr>
            <w:tcW w:w="1179" w:type="dxa"/>
            <w:shd w:val="clear" w:color="auto" w:fill="auto"/>
            <w:vAlign w:val="bottom"/>
          </w:tcPr>
          <w:p w:rsidR="00B809CB" w:rsidRPr="00F201AE" w:rsidRDefault="00B809CB" w:rsidP="00845630">
            <w:pPr>
              <w:tabs>
                <w:tab w:val="left" w:pos="744"/>
              </w:tabs>
              <w:ind w:right="218"/>
              <w:jc w:val="right"/>
              <w:rPr>
                <w:b/>
                <w:lang w:val="ro-RO"/>
              </w:rPr>
            </w:pPr>
            <w:r>
              <w:rPr>
                <w:b/>
                <w:lang w:val="ro-RO"/>
              </w:rPr>
              <w:t>7,3</w:t>
            </w:r>
          </w:p>
        </w:tc>
        <w:tc>
          <w:tcPr>
            <w:tcW w:w="1179" w:type="dxa"/>
            <w:shd w:val="clear" w:color="auto" w:fill="auto"/>
            <w:vAlign w:val="bottom"/>
          </w:tcPr>
          <w:p w:rsidR="00B809CB" w:rsidRPr="00F201AE" w:rsidRDefault="00B809CB" w:rsidP="00845630">
            <w:pPr>
              <w:tabs>
                <w:tab w:val="left" w:pos="744"/>
              </w:tabs>
              <w:ind w:right="218"/>
              <w:jc w:val="right"/>
              <w:rPr>
                <w:b/>
                <w:lang w:val="ro-RO"/>
              </w:rPr>
            </w:pPr>
            <w:r>
              <w:rPr>
                <w:b/>
                <w:lang w:val="ro-RO"/>
              </w:rPr>
              <w:t>79,6</w:t>
            </w:r>
          </w:p>
        </w:tc>
      </w:tr>
      <w:tr w:rsidR="00B809CB" w:rsidRPr="00CE76F3" w:rsidTr="00845630">
        <w:trPr>
          <w:jc w:val="center"/>
        </w:trPr>
        <w:tc>
          <w:tcPr>
            <w:tcW w:w="3468" w:type="dxa"/>
            <w:tcBorders>
              <w:right w:val="double" w:sz="4" w:space="0" w:color="auto"/>
            </w:tcBorders>
            <w:shd w:val="clear" w:color="auto" w:fill="auto"/>
          </w:tcPr>
          <w:p w:rsidR="00B809CB" w:rsidRPr="00CE76F3" w:rsidRDefault="00B809CB" w:rsidP="00845630">
            <w:pPr>
              <w:spacing w:before="120"/>
              <w:ind w:left="120"/>
              <w:rPr>
                <w:b/>
                <w:lang w:val="ro-RO"/>
              </w:rPr>
            </w:pPr>
            <w:r w:rsidRPr="00CE76F3">
              <w:rPr>
                <w:b/>
                <w:lang w:val="ro-RO"/>
              </w:rPr>
              <w:lastRenderedPageBreak/>
              <w:t>Cheltuieli de capital</w:t>
            </w:r>
          </w:p>
        </w:tc>
        <w:tc>
          <w:tcPr>
            <w:tcW w:w="1254" w:type="dxa"/>
            <w:tcBorders>
              <w:left w:val="double" w:sz="4" w:space="0" w:color="auto"/>
            </w:tcBorders>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0,0</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0,0</w:t>
            </w:r>
          </w:p>
        </w:tc>
        <w:tc>
          <w:tcPr>
            <w:tcW w:w="1254"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0,0</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0,0</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100,0</w:t>
            </w:r>
          </w:p>
        </w:tc>
      </w:tr>
      <w:tr w:rsidR="00B809CB" w:rsidRPr="00CE76F3" w:rsidTr="00845630">
        <w:trPr>
          <w:jc w:val="center"/>
        </w:trPr>
        <w:tc>
          <w:tcPr>
            <w:tcW w:w="3468" w:type="dxa"/>
            <w:tcBorders>
              <w:right w:val="double" w:sz="4" w:space="0" w:color="auto"/>
            </w:tcBorders>
            <w:shd w:val="clear" w:color="auto" w:fill="auto"/>
          </w:tcPr>
          <w:p w:rsidR="00B809CB" w:rsidRPr="00CE76F3" w:rsidRDefault="00B809CB" w:rsidP="00845630">
            <w:pPr>
              <w:numPr>
                <w:ilvl w:val="0"/>
                <w:numId w:val="14"/>
              </w:numPr>
              <w:tabs>
                <w:tab w:val="clear" w:pos="720"/>
                <w:tab w:val="num" w:pos="360"/>
              </w:tabs>
              <w:spacing w:before="120"/>
              <w:ind w:left="360" w:hanging="240"/>
              <w:rPr>
                <w:lang w:val="ro-RO"/>
              </w:rPr>
            </w:pPr>
            <w:r w:rsidRPr="00CE76F3">
              <w:rPr>
                <w:lang w:val="ro-RO"/>
              </w:rPr>
              <w:t>Active fix</w:t>
            </w:r>
            <w:r>
              <w:rPr>
                <w:lang w:val="ro-RO"/>
              </w:rPr>
              <w:t>e</w:t>
            </w:r>
          </w:p>
        </w:tc>
        <w:tc>
          <w:tcPr>
            <w:tcW w:w="1254" w:type="dxa"/>
            <w:tcBorders>
              <w:left w:val="double" w:sz="4" w:space="0" w:color="auto"/>
            </w:tcBorders>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0,0</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0,0</w:t>
            </w:r>
          </w:p>
        </w:tc>
        <w:tc>
          <w:tcPr>
            <w:tcW w:w="1254"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0,0</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0,0</w:t>
            </w:r>
          </w:p>
        </w:tc>
        <w:tc>
          <w:tcPr>
            <w:tcW w:w="1179" w:type="dxa"/>
            <w:shd w:val="clear" w:color="auto" w:fill="auto"/>
            <w:vAlign w:val="bottom"/>
          </w:tcPr>
          <w:p w:rsidR="00B809CB" w:rsidRPr="00CE76F3" w:rsidRDefault="00B809CB" w:rsidP="00845630">
            <w:pPr>
              <w:tabs>
                <w:tab w:val="left" w:pos="744"/>
              </w:tabs>
              <w:ind w:right="218"/>
              <w:jc w:val="right"/>
              <w:rPr>
                <w:lang w:val="ro-RO"/>
              </w:rPr>
            </w:pPr>
            <w:r w:rsidRPr="00CE76F3">
              <w:rPr>
                <w:lang w:val="ro-RO"/>
              </w:rPr>
              <w:t>100,0</w:t>
            </w:r>
          </w:p>
        </w:tc>
      </w:tr>
      <w:tr w:rsidR="00B809CB" w:rsidRPr="00CE76F3" w:rsidTr="00845630">
        <w:trPr>
          <w:jc w:val="center"/>
        </w:trPr>
        <w:tc>
          <w:tcPr>
            <w:tcW w:w="3468" w:type="dxa"/>
            <w:tcBorders>
              <w:right w:val="double" w:sz="4" w:space="0" w:color="auto"/>
            </w:tcBorders>
            <w:shd w:val="clear" w:color="auto" w:fill="auto"/>
            <w:vAlign w:val="bottom"/>
          </w:tcPr>
          <w:p w:rsidR="00B809CB" w:rsidRPr="00CE76F3" w:rsidRDefault="00B809CB" w:rsidP="00845630">
            <w:pPr>
              <w:spacing w:before="120"/>
              <w:rPr>
                <w:b/>
                <w:lang w:val="ro-RO"/>
              </w:rPr>
            </w:pPr>
            <w:r w:rsidRPr="00CE76F3">
              <w:rPr>
                <w:b/>
                <w:lang w:val="ro-RO"/>
              </w:rPr>
              <w:t>Finanțare de la UE</w:t>
            </w:r>
          </w:p>
        </w:tc>
        <w:tc>
          <w:tcPr>
            <w:tcW w:w="1254" w:type="dxa"/>
            <w:tcBorders>
              <w:left w:val="double" w:sz="4" w:space="0" w:color="auto"/>
            </w:tcBorders>
            <w:shd w:val="clear" w:color="auto" w:fill="auto"/>
            <w:vAlign w:val="bottom"/>
          </w:tcPr>
          <w:p w:rsidR="00B809CB" w:rsidRPr="00F201AE" w:rsidRDefault="00B809CB" w:rsidP="00845630">
            <w:pPr>
              <w:tabs>
                <w:tab w:val="left" w:pos="744"/>
              </w:tabs>
              <w:ind w:right="218"/>
              <w:jc w:val="right"/>
              <w:rPr>
                <w:b/>
                <w:lang w:val="ro-RO"/>
              </w:rPr>
            </w:pPr>
            <w:r w:rsidRPr="00F201AE">
              <w:rPr>
                <w:b/>
                <w:lang w:val="ro-RO"/>
              </w:rPr>
              <w:t>155,2</w:t>
            </w:r>
          </w:p>
        </w:tc>
        <w:tc>
          <w:tcPr>
            <w:tcW w:w="1179" w:type="dxa"/>
            <w:shd w:val="clear" w:color="auto" w:fill="auto"/>
            <w:vAlign w:val="bottom"/>
          </w:tcPr>
          <w:p w:rsidR="00B809CB" w:rsidRPr="00F201AE" w:rsidRDefault="00B809CB" w:rsidP="00845630">
            <w:pPr>
              <w:tabs>
                <w:tab w:val="left" w:pos="744"/>
              </w:tabs>
              <w:ind w:right="218"/>
              <w:jc w:val="right"/>
              <w:rPr>
                <w:b/>
                <w:lang w:val="ro-RO"/>
              </w:rPr>
            </w:pPr>
            <w:r w:rsidRPr="00F201AE">
              <w:rPr>
                <w:b/>
                <w:lang w:val="ro-RO"/>
              </w:rPr>
              <w:t>3.7</w:t>
            </w:r>
          </w:p>
        </w:tc>
        <w:tc>
          <w:tcPr>
            <w:tcW w:w="1254" w:type="dxa"/>
            <w:shd w:val="clear" w:color="auto" w:fill="auto"/>
            <w:vAlign w:val="bottom"/>
          </w:tcPr>
          <w:p w:rsidR="00B809CB" w:rsidRPr="00F201AE" w:rsidRDefault="00B809CB" w:rsidP="00845630">
            <w:pPr>
              <w:tabs>
                <w:tab w:val="left" w:pos="744"/>
              </w:tabs>
              <w:ind w:right="218"/>
              <w:jc w:val="right"/>
              <w:rPr>
                <w:b/>
                <w:lang w:val="ro-RO"/>
              </w:rPr>
            </w:pPr>
            <w:r>
              <w:rPr>
                <w:b/>
                <w:lang w:val="ro-RO"/>
              </w:rPr>
              <w:t>153,6</w:t>
            </w:r>
          </w:p>
        </w:tc>
        <w:tc>
          <w:tcPr>
            <w:tcW w:w="1179" w:type="dxa"/>
            <w:shd w:val="clear" w:color="auto" w:fill="auto"/>
            <w:vAlign w:val="bottom"/>
          </w:tcPr>
          <w:p w:rsidR="00B809CB" w:rsidRPr="00F201AE" w:rsidRDefault="00B809CB" w:rsidP="00845630">
            <w:pPr>
              <w:tabs>
                <w:tab w:val="left" w:pos="744"/>
              </w:tabs>
              <w:ind w:right="218"/>
              <w:jc w:val="right"/>
              <w:rPr>
                <w:b/>
                <w:lang w:val="ro-RO"/>
              </w:rPr>
            </w:pPr>
            <w:r>
              <w:rPr>
                <w:b/>
                <w:lang w:val="ro-RO"/>
              </w:rPr>
              <w:t>3,7</w:t>
            </w:r>
          </w:p>
        </w:tc>
        <w:tc>
          <w:tcPr>
            <w:tcW w:w="1179" w:type="dxa"/>
            <w:shd w:val="clear" w:color="auto" w:fill="auto"/>
            <w:vAlign w:val="bottom"/>
          </w:tcPr>
          <w:p w:rsidR="00B809CB" w:rsidRPr="00F201AE" w:rsidRDefault="00B809CB" w:rsidP="00845630">
            <w:pPr>
              <w:tabs>
                <w:tab w:val="left" w:pos="744"/>
              </w:tabs>
              <w:ind w:right="218"/>
              <w:jc w:val="right"/>
              <w:rPr>
                <w:b/>
                <w:lang w:val="ro-RO"/>
              </w:rPr>
            </w:pPr>
            <w:r>
              <w:rPr>
                <w:b/>
                <w:lang w:val="ro-RO"/>
              </w:rPr>
              <w:t>99</w:t>
            </w:r>
            <w:r w:rsidRPr="00F201AE">
              <w:rPr>
                <w:b/>
                <w:lang w:val="ro-RO"/>
              </w:rPr>
              <w:t>,</w:t>
            </w:r>
            <w:r>
              <w:rPr>
                <w:b/>
                <w:lang w:val="ro-RO"/>
              </w:rPr>
              <w:t>0</w:t>
            </w:r>
          </w:p>
        </w:tc>
      </w:tr>
      <w:tr w:rsidR="00B809CB" w:rsidRPr="00CE76F3" w:rsidTr="00845630">
        <w:trPr>
          <w:jc w:val="center"/>
        </w:trPr>
        <w:tc>
          <w:tcPr>
            <w:tcW w:w="3468" w:type="dxa"/>
            <w:tcBorders>
              <w:bottom w:val="double" w:sz="4" w:space="0" w:color="auto"/>
              <w:right w:val="double" w:sz="4" w:space="0" w:color="auto"/>
            </w:tcBorders>
            <w:shd w:val="clear" w:color="auto" w:fill="auto"/>
            <w:vAlign w:val="bottom"/>
          </w:tcPr>
          <w:p w:rsidR="00B809CB" w:rsidRPr="00CE76F3" w:rsidRDefault="00B809CB" w:rsidP="00845630">
            <w:pPr>
              <w:spacing w:before="120"/>
              <w:rPr>
                <w:lang w:val="ro-RO"/>
              </w:rPr>
            </w:pPr>
          </w:p>
        </w:tc>
        <w:tc>
          <w:tcPr>
            <w:tcW w:w="1254" w:type="dxa"/>
            <w:tcBorders>
              <w:bottom w:val="double" w:sz="4" w:space="0" w:color="auto"/>
            </w:tcBorders>
            <w:shd w:val="clear" w:color="auto" w:fill="auto"/>
            <w:vAlign w:val="bottom"/>
          </w:tcPr>
          <w:p w:rsidR="00B809CB" w:rsidRPr="00CE76F3" w:rsidRDefault="00B809CB" w:rsidP="00845630">
            <w:pPr>
              <w:ind w:right="378"/>
              <w:jc w:val="right"/>
              <w:rPr>
                <w:lang w:val="ro-RO"/>
              </w:rPr>
            </w:pPr>
          </w:p>
        </w:tc>
        <w:tc>
          <w:tcPr>
            <w:tcW w:w="1179" w:type="dxa"/>
            <w:tcBorders>
              <w:bottom w:val="double" w:sz="4" w:space="0" w:color="auto"/>
            </w:tcBorders>
            <w:shd w:val="clear" w:color="auto" w:fill="auto"/>
            <w:vAlign w:val="bottom"/>
          </w:tcPr>
          <w:p w:rsidR="00B809CB" w:rsidRPr="00CE76F3" w:rsidRDefault="00B809CB" w:rsidP="00845630">
            <w:pPr>
              <w:ind w:right="378"/>
              <w:jc w:val="right"/>
              <w:rPr>
                <w:lang w:val="ro-RO"/>
              </w:rPr>
            </w:pPr>
          </w:p>
        </w:tc>
        <w:tc>
          <w:tcPr>
            <w:tcW w:w="1254" w:type="dxa"/>
            <w:tcBorders>
              <w:bottom w:val="double" w:sz="4" w:space="0" w:color="auto"/>
            </w:tcBorders>
            <w:shd w:val="clear" w:color="auto" w:fill="auto"/>
            <w:vAlign w:val="bottom"/>
          </w:tcPr>
          <w:p w:rsidR="00B809CB" w:rsidRPr="00CE76F3" w:rsidRDefault="00B809CB" w:rsidP="00845630">
            <w:pPr>
              <w:ind w:right="378"/>
              <w:jc w:val="right"/>
              <w:rPr>
                <w:lang w:val="ro-RO"/>
              </w:rPr>
            </w:pPr>
          </w:p>
        </w:tc>
        <w:tc>
          <w:tcPr>
            <w:tcW w:w="1179" w:type="dxa"/>
            <w:tcBorders>
              <w:bottom w:val="double" w:sz="4" w:space="0" w:color="auto"/>
            </w:tcBorders>
            <w:shd w:val="clear" w:color="auto" w:fill="auto"/>
            <w:vAlign w:val="bottom"/>
          </w:tcPr>
          <w:p w:rsidR="00B809CB" w:rsidRPr="00CE76F3" w:rsidRDefault="00B809CB" w:rsidP="00845630">
            <w:pPr>
              <w:ind w:right="378"/>
              <w:jc w:val="right"/>
              <w:rPr>
                <w:lang w:val="ro-RO"/>
              </w:rPr>
            </w:pPr>
          </w:p>
        </w:tc>
        <w:tc>
          <w:tcPr>
            <w:tcW w:w="1179" w:type="dxa"/>
            <w:tcBorders>
              <w:bottom w:val="double" w:sz="4" w:space="0" w:color="auto"/>
            </w:tcBorders>
            <w:shd w:val="clear" w:color="auto" w:fill="auto"/>
            <w:vAlign w:val="bottom"/>
          </w:tcPr>
          <w:p w:rsidR="00B809CB" w:rsidRPr="00CE76F3" w:rsidRDefault="00B809CB" w:rsidP="00845630">
            <w:pPr>
              <w:ind w:right="378"/>
              <w:jc w:val="right"/>
              <w:rPr>
                <w:lang w:val="ro-RO"/>
              </w:rPr>
            </w:pPr>
          </w:p>
        </w:tc>
      </w:tr>
    </w:tbl>
    <w:p w:rsidR="00B809CB" w:rsidRPr="00E11029" w:rsidRDefault="00B809CB" w:rsidP="00B809CB">
      <w:pPr>
        <w:spacing w:line="360" w:lineRule="auto"/>
        <w:jc w:val="both"/>
        <w:rPr>
          <w:sz w:val="28"/>
          <w:szCs w:val="28"/>
          <w:lang w:val="ro-RO"/>
        </w:rPr>
      </w:pPr>
    </w:p>
    <w:p w:rsidR="00B809CB" w:rsidRDefault="00B809CB" w:rsidP="00B809CB">
      <w:pPr>
        <w:ind w:firstLine="720"/>
        <w:jc w:val="both"/>
        <w:rPr>
          <w:sz w:val="28"/>
          <w:szCs w:val="28"/>
          <w:lang w:val="ro-RO"/>
        </w:rPr>
      </w:pPr>
      <w:r w:rsidRPr="00E11029">
        <w:rPr>
          <w:sz w:val="28"/>
          <w:szCs w:val="28"/>
          <w:lang w:val="ro-RO"/>
        </w:rPr>
        <w:t>De la articolul alte cheltuieli (203030) au fost efectuate plăți pentru achitarea operatorilor statistici care culeg date statistice din gopodăriile populației pentru următoarele anchete statistice, în conformitate cu OPINS emise pentru fiecare tip:</w:t>
      </w:r>
    </w:p>
    <w:p w:rsidR="00B809CB" w:rsidRPr="00E11029" w:rsidRDefault="00B809CB" w:rsidP="00B809CB">
      <w:pPr>
        <w:ind w:firstLine="720"/>
        <w:jc w:val="both"/>
        <w:rPr>
          <w:sz w:val="28"/>
          <w:szCs w:val="28"/>
          <w:lang w:val="ro-RO"/>
        </w:rPr>
      </w:pPr>
    </w:p>
    <w:p w:rsidR="00B809CB" w:rsidRPr="00E11029" w:rsidRDefault="00B809CB" w:rsidP="00B809CB">
      <w:pPr>
        <w:ind w:firstLine="720"/>
        <w:jc w:val="both"/>
        <w:rPr>
          <w:sz w:val="28"/>
          <w:szCs w:val="28"/>
          <w:lang w:val="ro-RO"/>
        </w:rPr>
      </w:pPr>
    </w:p>
    <w:tbl>
      <w:tblPr>
        <w:tblW w:w="9663" w:type="dxa"/>
        <w:tblInd w:w="113" w:type="dxa"/>
        <w:tblLook w:val="04A0" w:firstRow="1" w:lastRow="0" w:firstColumn="1" w:lastColumn="0" w:noHBand="0" w:noVBand="1"/>
      </w:tblPr>
      <w:tblGrid>
        <w:gridCol w:w="591"/>
        <w:gridCol w:w="7371"/>
        <w:gridCol w:w="1701"/>
      </w:tblGrid>
      <w:tr w:rsidR="00B809CB" w:rsidRPr="00E11029" w:rsidTr="00845630">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9CB" w:rsidRPr="00E11029" w:rsidRDefault="00B809CB" w:rsidP="00845630">
            <w:pPr>
              <w:jc w:val="center"/>
              <w:rPr>
                <w:bCs/>
              </w:rPr>
            </w:pPr>
            <w:r w:rsidRPr="00E11029">
              <w:rPr>
                <w:bCs/>
              </w:rPr>
              <w:t>Nr. crt.</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B809CB" w:rsidRPr="00E11029" w:rsidRDefault="00B809CB" w:rsidP="00845630">
            <w:pPr>
              <w:jc w:val="center"/>
              <w:rPr>
                <w:bCs/>
              </w:rPr>
            </w:pPr>
            <w:r w:rsidRPr="00E11029">
              <w:rPr>
                <w:bCs/>
              </w:rPr>
              <w:t>Denumire anchetă statistică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809CB" w:rsidRPr="00E11029" w:rsidRDefault="00B809CB" w:rsidP="00845630">
            <w:pPr>
              <w:jc w:val="center"/>
              <w:rPr>
                <w:bCs/>
              </w:rPr>
            </w:pPr>
            <w:r w:rsidRPr="00E11029">
              <w:rPr>
                <w:bCs/>
              </w:rPr>
              <w:t xml:space="preserve">Suma plătită </w:t>
            </w:r>
          </w:p>
        </w:tc>
      </w:tr>
      <w:tr w:rsidR="00B809CB" w:rsidRPr="00E11029" w:rsidTr="00845630">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809CB" w:rsidRPr="00E11029" w:rsidRDefault="00B809CB" w:rsidP="00845630">
            <w:pPr>
              <w:jc w:val="center"/>
            </w:pPr>
            <w:r w:rsidRPr="00E11029">
              <w:t>1</w:t>
            </w:r>
          </w:p>
        </w:tc>
        <w:tc>
          <w:tcPr>
            <w:tcW w:w="7371" w:type="dxa"/>
            <w:tcBorders>
              <w:top w:val="nil"/>
              <w:left w:val="nil"/>
              <w:bottom w:val="single" w:sz="4" w:space="0" w:color="auto"/>
              <w:right w:val="single" w:sz="4" w:space="0" w:color="auto"/>
            </w:tcBorders>
            <w:shd w:val="clear" w:color="auto" w:fill="auto"/>
            <w:vAlign w:val="center"/>
            <w:hideMark/>
          </w:tcPr>
          <w:p w:rsidR="00B809CB" w:rsidRPr="00E11029" w:rsidRDefault="00B809CB" w:rsidP="00845630">
            <w:pPr>
              <w:rPr>
                <w:bCs/>
              </w:rPr>
            </w:pPr>
            <w:r w:rsidRPr="00E11029">
              <w:rPr>
                <w:bCs/>
              </w:rPr>
              <w:t>ACTR</w:t>
            </w:r>
            <w:r w:rsidRPr="00E11029">
              <w:t xml:space="preserve"> (ancheta cererii turistice a rezidenților în România)</w:t>
            </w:r>
          </w:p>
        </w:tc>
        <w:tc>
          <w:tcPr>
            <w:tcW w:w="170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jc w:val="right"/>
            </w:pPr>
            <w:r>
              <w:t>28989</w:t>
            </w:r>
            <w:r w:rsidRPr="00E11029">
              <w:t>,00</w:t>
            </w:r>
          </w:p>
        </w:tc>
      </w:tr>
      <w:tr w:rsidR="00B809CB" w:rsidRPr="00E11029" w:rsidTr="00845630">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809CB" w:rsidRPr="00E11029" w:rsidRDefault="00B809CB" w:rsidP="00845630">
            <w:pPr>
              <w:jc w:val="center"/>
            </w:pPr>
            <w:r w:rsidRPr="00E11029">
              <w:t>2</w:t>
            </w:r>
          </w:p>
        </w:tc>
        <w:tc>
          <w:tcPr>
            <w:tcW w:w="737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rPr>
                <w:bCs/>
              </w:rPr>
            </w:pPr>
            <w:r w:rsidRPr="00E11029">
              <w:rPr>
                <w:bCs/>
              </w:rPr>
              <w:t xml:space="preserve">ABF </w:t>
            </w:r>
            <w:r w:rsidRPr="00E11029">
              <w:t>(ancheta bugetelor de familie)</w:t>
            </w:r>
          </w:p>
        </w:tc>
        <w:tc>
          <w:tcPr>
            <w:tcW w:w="170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jc w:val="right"/>
            </w:pPr>
            <w:r>
              <w:t>103875</w:t>
            </w:r>
            <w:r w:rsidRPr="00E11029">
              <w:t>,00</w:t>
            </w:r>
          </w:p>
        </w:tc>
      </w:tr>
      <w:tr w:rsidR="00B809CB" w:rsidRPr="00E11029" w:rsidTr="00845630">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809CB" w:rsidRPr="00E11029" w:rsidRDefault="00B809CB" w:rsidP="00845630">
            <w:pPr>
              <w:jc w:val="center"/>
            </w:pPr>
            <w:r w:rsidRPr="00E11029">
              <w:t>3</w:t>
            </w:r>
          </w:p>
        </w:tc>
        <w:tc>
          <w:tcPr>
            <w:tcW w:w="737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rPr>
                <w:bCs/>
              </w:rPr>
            </w:pPr>
            <w:r w:rsidRPr="00E11029">
              <w:rPr>
                <w:bCs/>
              </w:rPr>
              <w:t>ACAV</w:t>
            </w:r>
            <w:r w:rsidRPr="00E11029">
              <w:t xml:space="preserve"> (ancheta calității vieții)</w:t>
            </w:r>
          </w:p>
        </w:tc>
        <w:tc>
          <w:tcPr>
            <w:tcW w:w="170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jc w:val="right"/>
            </w:pPr>
            <w:r>
              <w:t>20382</w:t>
            </w:r>
            <w:r w:rsidRPr="00E11029">
              <w:t>,00</w:t>
            </w:r>
          </w:p>
        </w:tc>
      </w:tr>
      <w:tr w:rsidR="00B809CB" w:rsidRPr="00E11029" w:rsidTr="00845630">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809CB" w:rsidRPr="00E11029" w:rsidRDefault="00B809CB" w:rsidP="00845630">
            <w:pPr>
              <w:jc w:val="center"/>
            </w:pPr>
            <w:r w:rsidRPr="00E11029">
              <w:t>4</w:t>
            </w:r>
          </w:p>
        </w:tc>
        <w:tc>
          <w:tcPr>
            <w:tcW w:w="7371" w:type="dxa"/>
            <w:tcBorders>
              <w:top w:val="nil"/>
              <w:left w:val="nil"/>
              <w:bottom w:val="single" w:sz="4" w:space="0" w:color="auto"/>
              <w:right w:val="single" w:sz="4" w:space="0" w:color="auto"/>
            </w:tcBorders>
            <w:shd w:val="clear" w:color="auto" w:fill="auto"/>
            <w:vAlign w:val="center"/>
            <w:hideMark/>
          </w:tcPr>
          <w:p w:rsidR="00B809CB" w:rsidRPr="00E11029" w:rsidRDefault="00B809CB" w:rsidP="00845630">
            <w:pPr>
              <w:rPr>
                <w:bCs/>
              </w:rPr>
            </w:pPr>
            <w:r w:rsidRPr="00E11029">
              <w:rPr>
                <w:bCs/>
              </w:rPr>
              <w:t>AMIGO</w:t>
            </w:r>
            <w:r w:rsidRPr="00E11029">
              <w:t xml:space="preserve"> (ancheta statistică asupra forței de muncă în gospodării)</w:t>
            </w:r>
          </w:p>
        </w:tc>
        <w:tc>
          <w:tcPr>
            <w:tcW w:w="170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jc w:val="right"/>
            </w:pPr>
            <w:r>
              <w:t>141176</w:t>
            </w:r>
            <w:r w:rsidRPr="00E11029">
              <w:t>,00</w:t>
            </w:r>
          </w:p>
        </w:tc>
      </w:tr>
      <w:tr w:rsidR="00B809CB" w:rsidRPr="00E11029" w:rsidTr="00845630">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tcPr>
          <w:p w:rsidR="00B809CB" w:rsidRPr="00E11029" w:rsidRDefault="00B809CB" w:rsidP="00845630">
            <w:pPr>
              <w:jc w:val="center"/>
            </w:pPr>
            <w:r w:rsidRPr="00E11029">
              <w:t>5</w:t>
            </w:r>
          </w:p>
        </w:tc>
        <w:tc>
          <w:tcPr>
            <w:tcW w:w="7371" w:type="dxa"/>
            <w:tcBorders>
              <w:top w:val="nil"/>
              <w:left w:val="nil"/>
              <w:bottom w:val="single" w:sz="4" w:space="0" w:color="auto"/>
              <w:right w:val="single" w:sz="4" w:space="0" w:color="auto"/>
            </w:tcBorders>
            <w:shd w:val="clear" w:color="auto" w:fill="auto"/>
            <w:vAlign w:val="center"/>
          </w:tcPr>
          <w:p w:rsidR="00B809CB" w:rsidRPr="00E11029" w:rsidRDefault="00B809CB" w:rsidP="00845630">
            <w:pPr>
              <w:rPr>
                <w:bCs/>
              </w:rPr>
            </w:pPr>
            <w:r w:rsidRPr="00E11029">
              <w:rPr>
                <w:bCs/>
              </w:rPr>
              <w:t>TIC (tehnologia informațiilor și comunicațiilor în gospodării)</w:t>
            </w:r>
          </w:p>
        </w:tc>
        <w:tc>
          <w:tcPr>
            <w:tcW w:w="1701" w:type="dxa"/>
            <w:tcBorders>
              <w:top w:val="nil"/>
              <w:left w:val="nil"/>
              <w:bottom w:val="single" w:sz="4" w:space="0" w:color="auto"/>
              <w:right w:val="single" w:sz="4" w:space="0" w:color="auto"/>
            </w:tcBorders>
            <w:shd w:val="clear" w:color="auto" w:fill="auto"/>
            <w:noWrap/>
            <w:vAlign w:val="center"/>
          </w:tcPr>
          <w:p w:rsidR="00B809CB" w:rsidRPr="00E11029" w:rsidRDefault="00B809CB" w:rsidP="00845630">
            <w:pPr>
              <w:jc w:val="right"/>
            </w:pPr>
            <w:r>
              <w:t>10564</w:t>
            </w:r>
            <w:r w:rsidRPr="00E11029">
              <w:t>,00</w:t>
            </w:r>
          </w:p>
        </w:tc>
      </w:tr>
      <w:tr w:rsidR="00B809CB" w:rsidRPr="00E11029" w:rsidTr="00845630">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809CB" w:rsidRPr="00E11029" w:rsidRDefault="00B809CB" w:rsidP="00845630">
            <w:pPr>
              <w:jc w:val="center"/>
            </w:pPr>
            <w:r w:rsidRPr="00E11029">
              <w:t>6</w:t>
            </w:r>
          </w:p>
        </w:tc>
        <w:tc>
          <w:tcPr>
            <w:tcW w:w="7371" w:type="dxa"/>
            <w:tcBorders>
              <w:top w:val="nil"/>
              <w:left w:val="nil"/>
              <w:bottom w:val="single" w:sz="4" w:space="0" w:color="auto"/>
              <w:right w:val="single" w:sz="4" w:space="0" w:color="auto"/>
            </w:tcBorders>
            <w:shd w:val="clear" w:color="auto" w:fill="auto"/>
            <w:vAlign w:val="center"/>
            <w:hideMark/>
          </w:tcPr>
          <w:p w:rsidR="00B809CB" w:rsidRPr="00E11029" w:rsidRDefault="00B809CB" w:rsidP="00845630">
            <w:pPr>
              <w:rPr>
                <w:bCs/>
              </w:rPr>
            </w:pPr>
            <w:r w:rsidRPr="00E11029">
              <w:rPr>
                <w:bCs/>
              </w:rPr>
              <w:t>SILV 5</w:t>
            </w:r>
            <w:r w:rsidRPr="00E11029">
              <w:t xml:space="preserve"> (chestionar statistic privind volumul de lemn exploatat)</w:t>
            </w:r>
          </w:p>
        </w:tc>
        <w:tc>
          <w:tcPr>
            <w:tcW w:w="170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jc w:val="right"/>
            </w:pPr>
            <w:r>
              <w:t>0</w:t>
            </w:r>
            <w:r w:rsidRPr="00E11029">
              <w:t>,00</w:t>
            </w:r>
          </w:p>
        </w:tc>
      </w:tr>
      <w:tr w:rsidR="00B809CB" w:rsidRPr="00E11029" w:rsidTr="00845630">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809CB" w:rsidRPr="00E11029" w:rsidRDefault="00B809CB" w:rsidP="00845630">
            <w:pPr>
              <w:jc w:val="center"/>
            </w:pPr>
            <w:r w:rsidRPr="00E11029">
              <w:t>7</w:t>
            </w:r>
          </w:p>
        </w:tc>
        <w:tc>
          <w:tcPr>
            <w:tcW w:w="7371" w:type="dxa"/>
            <w:tcBorders>
              <w:top w:val="nil"/>
              <w:left w:val="nil"/>
              <w:bottom w:val="single" w:sz="4" w:space="0" w:color="auto"/>
              <w:right w:val="single" w:sz="4" w:space="0" w:color="auto"/>
            </w:tcBorders>
            <w:shd w:val="clear" w:color="auto" w:fill="auto"/>
            <w:vAlign w:val="center"/>
            <w:hideMark/>
          </w:tcPr>
          <w:p w:rsidR="00B809CB" w:rsidRPr="00E11029" w:rsidRDefault="00B809CB" w:rsidP="00845630">
            <w:pPr>
              <w:rPr>
                <w:bCs/>
              </w:rPr>
            </w:pPr>
            <w:r w:rsidRPr="00E11029">
              <w:rPr>
                <w:bCs/>
              </w:rPr>
              <w:t>PVPC</w:t>
            </w:r>
            <w:r w:rsidRPr="00E11029">
              <w:t xml:space="preserve"> (cercetare statistică privind producţia vegetală la principalele</w:t>
            </w:r>
            <w:r w:rsidRPr="00E11029">
              <w:br/>
              <w:t>culturi)</w:t>
            </w:r>
          </w:p>
        </w:tc>
        <w:tc>
          <w:tcPr>
            <w:tcW w:w="170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jc w:val="right"/>
            </w:pPr>
            <w:r>
              <w:t>14351</w:t>
            </w:r>
            <w:r w:rsidRPr="00E11029">
              <w:t>,00</w:t>
            </w:r>
          </w:p>
        </w:tc>
      </w:tr>
      <w:tr w:rsidR="00B809CB" w:rsidRPr="00E11029" w:rsidTr="00845630">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809CB" w:rsidRPr="00E11029" w:rsidRDefault="00B809CB" w:rsidP="00845630">
            <w:pPr>
              <w:jc w:val="center"/>
            </w:pPr>
            <w:r w:rsidRPr="00E11029">
              <w:t>8</w:t>
            </w:r>
          </w:p>
        </w:tc>
        <w:tc>
          <w:tcPr>
            <w:tcW w:w="737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rPr>
                <w:bCs/>
              </w:rPr>
            </w:pPr>
            <w:r w:rsidRPr="00E11029">
              <w:rPr>
                <w:bCs/>
              </w:rPr>
              <w:t>PPP</w:t>
            </w:r>
            <w:r w:rsidRPr="00E11029">
              <w:t xml:space="preserve"> (pesticide plasate pe piață)</w:t>
            </w:r>
          </w:p>
        </w:tc>
        <w:tc>
          <w:tcPr>
            <w:tcW w:w="170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jc w:val="right"/>
            </w:pPr>
            <w:r>
              <w:t>301</w:t>
            </w:r>
            <w:r w:rsidRPr="00E11029">
              <w:t>,00</w:t>
            </w:r>
          </w:p>
        </w:tc>
      </w:tr>
      <w:tr w:rsidR="00B809CB" w:rsidRPr="00E11029" w:rsidTr="00845630">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809CB" w:rsidRPr="00E11029" w:rsidRDefault="00B809CB" w:rsidP="00845630">
            <w:pPr>
              <w:jc w:val="center"/>
            </w:pPr>
            <w:r w:rsidRPr="00E11029">
              <w:t>9</w:t>
            </w:r>
          </w:p>
        </w:tc>
        <w:tc>
          <w:tcPr>
            <w:tcW w:w="7371" w:type="dxa"/>
            <w:tcBorders>
              <w:top w:val="nil"/>
              <w:left w:val="nil"/>
              <w:bottom w:val="single" w:sz="4" w:space="0" w:color="auto"/>
              <w:right w:val="single" w:sz="4" w:space="0" w:color="auto"/>
            </w:tcBorders>
            <w:shd w:val="clear" w:color="auto" w:fill="auto"/>
            <w:vAlign w:val="center"/>
            <w:hideMark/>
          </w:tcPr>
          <w:p w:rsidR="00B809CB" w:rsidRPr="00E11029" w:rsidRDefault="00B809CB" w:rsidP="00845630">
            <w:pPr>
              <w:rPr>
                <w:bCs/>
              </w:rPr>
            </w:pPr>
            <w:r w:rsidRPr="00E11029">
              <w:rPr>
                <w:bCs/>
              </w:rPr>
              <w:t>EPA</w:t>
            </w:r>
            <w:r w:rsidRPr="00E11029">
              <w:t xml:space="preserve"> (chestionar statistic privind efectivele de animale la 1 decembrie şi producţia animală obţinută)</w:t>
            </w:r>
          </w:p>
        </w:tc>
        <w:tc>
          <w:tcPr>
            <w:tcW w:w="170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jc w:val="right"/>
            </w:pPr>
            <w:r>
              <w:t>15267</w:t>
            </w:r>
            <w:r w:rsidRPr="00E11029">
              <w:t>,00</w:t>
            </w:r>
          </w:p>
        </w:tc>
      </w:tr>
      <w:tr w:rsidR="00B809CB" w:rsidRPr="00E11029" w:rsidTr="00845630">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809CB" w:rsidRPr="00E11029" w:rsidRDefault="00B809CB" w:rsidP="00845630">
            <w:pPr>
              <w:jc w:val="center"/>
            </w:pPr>
            <w:r w:rsidRPr="00E11029">
              <w:t>10</w:t>
            </w:r>
          </w:p>
        </w:tc>
        <w:tc>
          <w:tcPr>
            <w:tcW w:w="7371" w:type="dxa"/>
            <w:tcBorders>
              <w:top w:val="nil"/>
              <w:left w:val="nil"/>
              <w:bottom w:val="single" w:sz="4" w:space="0" w:color="auto"/>
              <w:right w:val="single" w:sz="4" w:space="0" w:color="auto"/>
            </w:tcBorders>
            <w:shd w:val="clear" w:color="auto" w:fill="auto"/>
            <w:vAlign w:val="center"/>
            <w:hideMark/>
          </w:tcPr>
          <w:p w:rsidR="00B809CB" w:rsidRPr="00E11029" w:rsidRDefault="00B809CB" w:rsidP="00845630">
            <w:pPr>
              <w:rPr>
                <w:bCs/>
              </w:rPr>
            </w:pPr>
            <w:r w:rsidRPr="00E11029">
              <w:rPr>
                <w:bCs/>
              </w:rPr>
              <w:t>EB</w:t>
            </w:r>
            <w:r w:rsidRPr="00E11029">
              <w:t xml:space="preserve"> (chestionar statistic privind efectivele de bovine la 1 iunie)</w:t>
            </w:r>
          </w:p>
        </w:tc>
        <w:tc>
          <w:tcPr>
            <w:tcW w:w="170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jc w:val="right"/>
            </w:pPr>
            <w:r>
              <w:t>1446</w:t>
            </w:r>
            <w:r w:rsidRPr="00E11029">
              <w:t>,00</w:t>
            </w:r>
          </w:p>
        </w:tc>
      </w:tr>
      <w:tr w:rsidR="00B809CB" w:rsidRPr="00E11029" w:rsidTr="00845630">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809CB" w:rsidRPr="00E11029" w:rsidRDefault="00B809CB" w:rsidP="00845630">
            <w:pPr>
              <w:jc w:val="center"/>
            </w:pPr>
            <w:r w:rsidRPr="00E11029">
              <w:t>11</w:t>
            </w:r>
          </w:p>
        </w:tc>
        <w:tc>
          <w:tcPr>
            <w:tcW w:w="7371" w:type="dxa"/>
            <w:tcBorders>
              <w:top w:val="nil"/>
              <w:left w:val="nil"/>
              <w:bottom w:val="single" w:sz="4" w:space="0" w:color="auto"/>
              <w:right w:val="single" w:sz="4" w:space="0" w:color="auto"/>
            </w:tcBorders>
            <w:shd w:val="clear" w:color="auto" w:fill="auto"/>
            <w:vAlign w:val="center"/>
            <w:hideMark/>
          </w:tcPr>
          <w:p w:rsidR="00B809CB" w:rsidRPr="00E11029" w:rsidRDefault="00B809CB" w:rsidP="00845630">
            <w:pPr>
              <w:rPr>
                <w:bCs/>
              </w:rPr>
            </w:pPr>
            <w:r w:rsidRPr="00E11029">
              <w:rPr>
                <w:bCs/>
              </w:rPr>
              <w:t>EP</w:t>
            </w:r>
            <w:r w:rsidRPr="00E11029">
              <w:t xml:space="preserve"> (chestionar statistic privind efectivele de porcine) </w:t>
            </w:r>
          </w:p>
        </w:tc>
        <w:tc>
          <w:tcPr>
            <w:tcW w:w="170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jc w:val="right"/>
            </w:pPr>
            <w:r>
              <w:t>2202</w:t>
            </w:r>
            <w:r w:rsidRPr="00E11029">
              <w:t>,00</w:t>
            </w:r>
          </w:p>
        </w:tc>
      </w:tr>
      <w:tr w:rsidR="00B809CB" w:rsidRPr="00E11029" w:rsidTr="00845630">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809CB" w:rsidRPr="00E11029" w:rsidRDefault="00B809CB" w:rsidP="00845630">
            <w:pPr>
              <w:jc w:val="center"/>
            </w:pPr>
            <w:r w:rsidRPr="00E11029">
              <w:t>12</w:t>
            </w:r>
          </w:p>
        </w:tc>
        <w:tc>
          <w:tcPr>
            <w:tcW w:w="7371" w:type="dxa"/>
            <w:tcBorders>
              <w:top w:val="nil"/>
              <w:left w:val="nil"/>
              <w:bottom w:val="single" w:sz="4" w:space="0" w:color="auto"/>
              <w:right w:val="single" w:sz="4" w:space="0" w:color="auto"/>
            </w:tcBorders>
            <w:shd w:val="clear" w:color="auto" w:fill="auto"/>
            <w:vAlign w:val="center"/>
            <w:hideMark/>
          </w:tcPr>
          <w:p w:rsidR="00B809CB" w:rsidRPr="00E11029" w:rsidRDefault="00B809CB" w:rsidP="00845630">
            <w:pPr>
              <w:rPr>
                <w:bCs/>
              </w:rPr>
            </w:pPr>
            <w:r w:rsidRPr="00E11029">
              <w:rPr>
                <w:bCs/>
              </w:rPr>
              <w:t>APP - P</w:t>
            </w:r>
            <w:r>
              <w:t xml:space="preserve"> (p</w:t>
            </w:r>
            <w:r w:rsidRPr="00E11029">
              <w:t>reţurile produselor agricole – pieţe agroalimentare)</w:t>
            </w:r>
          </w:p>
        </w:tc>
        <w:tc>
          <w:tcPr>
            <w:tcW w:w="170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jc w:val="right"/>
            </w:pPr>
            <w:r>
              <w:t>5703</w:t>
            </w:r>
            <w:r w:rsidRPr="00E11029">
              <w:t>,00</w:t>
            </w:r>
          </w:p>
        </w:tc>
      </w:tr>
      <w:tr w:rsidR="00B809CB" w:rsidRPr="00E11029" w:rsidTr="00845630">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809CB" w:rsidRPr="00E11029" w:rsidRDefault="00B809CB" w:rsidP="00845630">
            <w:pPr>
              <w:jc w:val="center"/>
            </w:pPr>
            <w:r w:rsidRPr="00E11029">
              <w:t>13</w:t>
            </w:r>
          </w:p>
        </w:tc>
        <w:tc>
          <w:tcPr>
            <w:tcW w:w="737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rPr>
                <w:bCs/>
              </w:rPr>
            </w:pPr>
            <w:r w:rsidRPr="00E11029">
              <w:rPr>
                <w:bCs/>
              </w:rPr>
              <w:t>APP - O</w:t>
            </w:r>
          </w:p>
        </w:tc>
        <w:tc>
          <w:tcPr>
            <w:tcW w:w="170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jc w:val="right"/>
            </w:pPr>
            <w:r w:rsidRPr="00E11029">
              <w:t>0,00</w:t>
            </w:r>
          </w:p>
        </w:tc>
      </w:tr>
      <w:tr w:rsidR="00B809CB" w:rsidRPr="00E11029" w:rsidTr="00845630">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tcPr>
          <w:p w:rsidR="00B809CB" w:rsidRPr="00E11029" w:rsidRDefault="00B809CB" w:rsidP="00845630">
            <w:pPr>
              <w:jc w:val="center"/>
            </w:pPr>
            <w:r w:rsidRPr="00E11029">
              <w:t>14</w:t>
            </w:r>
          </w:p>
        </w:tc>
        <w:tc>
          <w:tcPr>
            <w:tcW w:w="7371" w:type="dxa"/>
            <w:tcBorders>
              <w:top w:val="nil"/>
              <w:left w:val="nil"/>
              <w:bottom w:val="single" w:sz="4" w:space="0" w:color="auto"/>
              <w:right w:val="single" w:sz="4" w:space="0" w:color="auto"/>
            </w:tcBorders>
            <w:shd w:val="clear" w:color="auto" w:fill="auto"/>
            <w:noWrap/>
            <w:vAlign w:val="center"/>
          </w:tcPr>
          <w:p w:rsidR="00B809CB" w:rsidRPr="00E11029" w:rsidRDefault="00B809CB" w:rsidP="00845630">
            <w:pPr>
              <w:rPr>
                <w:bCs/>
              </w:rPr>
            </w:pPr>
            <w:r w:rsidRPr="00E11029">
              <w:rPr>
                <w:bCs/>
              </w:rPr>
              <w:t>APT (APP-CP)(APP-E)</w:t>
            </w:r>
          </w:p>
        </w:tc>
        <w:tc>
          <w:tcPr>
            <w:tcW w:w="1701" w:type="dxa"/>
            <w:tcBorders>
              <w:top w:val="nil"/>
              <w:left w:val="nil"/>
              <w:bottom w:val="single" w:sz="4" w:space="0" w:color="auto"/>
              <w:right w:val="single" w:sz="4" w:space="0" w:color="auto"/>
            </w:tcBorders>
            <w:shd w:val="clear" w:color="auto" w:fill="auto"/>
            <w:noWrap/>
            <w:vAlign w:val="center"/>
          </w:tcPr>
          <w:p w:rsidR="00B809CB" w:rsidRPr="00E11029" w:rsidRDefault="00B809CB" w:rsidP="00845630">
            <w:pPr>
              <w:jc w:val="right"/>
            </w:pPr>
            <w:r w:rsidRPr="00E11029">
              <w:t>0,00</w:t>
            </w:r>
          </w:p>
        </w:tc>
      </w:tr>
      <w:tr w:rsidR="00B809CB" w:rsidRPr="00E11029" w:rsidTr="00845630">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809CB" w:rsidRPr="00E11029" w:rsidRDefault="00B809CB" w:rsidP="00845630">
            <w:pPr>
              <w:jc w:val="center"/>
            </w:pPr>
            <w:r w:rsidRPr="00E11029">
              <w:t>15</w:t>
            </w:r>
          </w:p>
        </w:tc>
        <w:tc>
          <w:tcPr>
            <w:tcW w:w="737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rPr>
                <w:bCs/>
              </w:rPr>
            </w:pPr>
            <w:r w:rsidRPr="00E11029">
              <w:rPr>
                <w:bCs/>
              </w:rPr>
              <w:t>UPA (Utilizarea pesticidelor în agricultură)</w:t>
            </w:r>
          </w:p>
        </w:tc>
        <w:tc>
          <w:tcPr>
            <w:tcW w:w="170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jc w:val="right"/>
            </w:pPr>
            <w:r w:rsidRPr="00E11029">
              <w:t>0,00</w:t>
            </w:r>
          </w:p>
        </w:tc>
      </w:tr>
      <w:tr w:rsidR="00B809CB" w:rsidRPr="00E11029" w:rsidTr="00845630">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tcPr>
          <w:p w:rsidR="00B809CB" w:rsidRPr="00E11029" w:rsidRDefault="00B809CB" w:rsidP="00845630">
            <w:pPr>
              <w:jc w:val="center"/>
            </w:pPr>
            <w:r w:rsidRPr="00E11029">
              <w:t>16</w:t>
            </w:r>
          </w:p>
        </w:tc>
        <w:tc>
          <w:tcPr>
            <w:tcW w:w="7371" w:type="dxa"/>
            <w:tcBorders>
              <w:top w:val="nil"/>
              <w:left w:val="nil"/>
              <w:bottom w:val="single" w:sz="4" w:space="0" w:color="auto"/>
              <w:right w:val="single" w:sz="4" w:space="0" w:color="auto"/>
            </w:tcBorders>
            <w:shd w:val="clear" w:color="auto" w:fill="auto"/>
            <w:noWrap/>
            <w:vAlign w:val="center"/>
          </w:tcPr>
          <w:p w:rsidR="00B809CB" w:rsidRPr="00E11029" w:rsidRDefault="00B809CB" w:rsidP="00845630">
            <w:pPr>
              <w:rPr>
                <w:bCs/>
              </w:rPr>
            </w:pPr>
            <w:r w:rsidRPr="00E11029">
              <w:rPr>
                <w:bCs/>
              </w:rPr>
              <w:t>SANPOP (Ancheta pentru sănătate)</w:t>
            </w:r>
          </w:p>
        </w:tc>
        <w:tc>
          <w:tcPr>
            <w:tcW w:w="1701" w:type="dxa"/>
            <w:tcBorders>
              <w:top w:val="nil"/>
              <w:left w:val="nil"/>
              <w:bottom w:val="single" w:sz="4" w:space="0" w:color="auto"/>
              <w:right w:val="single" w:sz="4" w:space="0" w:color="auto"/>
            </w:tcBorders>
            <w:shd w:val="clear" w:color="auto" w:fill="auto"/>
            <w:noWrap/>
            <w:vAlign w:val="center"/>
          </w:tcPr>
          <w:p w:rsidR="00B809CB" w:rsidRPr="00E11029" w:rsidRDefault="00B809CB" w:rsidP="00845630">
            <w:pPr>
              <w:jc w:val="right"/>
            </w:pPr>
            <w:r w:rsidRPr="00E11029">
              <w:t>0,00</w:t>
            </w:r>
          </w:p>
        </w:tc>
      </w:tr>
      <w:tr w:rsidR="00B809CB" w:rsidRPr="00E11029" w:rsidTr="00845630">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tcPr>
          <w:p w:rsidR="00B809CB" w:rsidRPr="00E11029" w:rsidRDefault="00B809CB" w:rsidP="00845630">
            <w:pPr>
              <w:jc w:val="center"/>
            </w:pPr>
            <w:r w:rsidRPr="00E11029">
              <w:t>17</w:t>
            </w:r>
          </w:p>
        </w:tc>
        <w:tc>
          <w:tcPr>
            <w:tcW w:w="7371" w:type="dxa"/>
            <w:tcBorders>
              <w:top w:val="nil"/>
              <w:left w:val="nil"/>
              <w:bottom w:val="single" w:sz="4" w:space="0" w:color="auto"/>
              <w:right w:val="single" w:sz="4" w:space="0" w:color="auto"/>
            </w:tcBorders>
            <w:shd w:val="clear" w:color="auto" w:fill="auto"/>
            <w:noWrap/>
            <w:vAlign w:val="center"/>
          </w:tcPr>
          <w:p w:rsidR="00B809CB" w:rsidRPr="00E11029" w:rsidRDefault="00B809CB" w:rsidP="00845630">
            <w:pPr>
              <w:rPr>
                <w:bCs/>
              </w:rPr>
            </w:pPr>
            <w:r w:rsidRPr="00E11029">
              <w:rPr>
                <w:bCs/>
              </w:rPr>
              <w:t>CIC (s</w:t>
            </w:r>
            <w:r w:rsidRPr="00E11029">
              <w:rPr>
                <w:bCs/>
                <w:lang w:val="ro-RO"/>
              </w:rPr>
              <w:t>ă</w:t>
            </w:r>
            <w:r w:rsidRPr="00E11029">
              <w:rPr>
                <w:bCs/>
              </w:rPr>
              <w:t>natate și siguranță la locul de muncă )</w:t>
            </w:r>
          </w:p>
        </w:tc>
        <w:tc>
          <w:tcPr>
            <w:tcW w:w="1701" w:type="dxa"/>
            <w:tcBorders>
              <w:top w:val="nil"/>
              <w:left w:val="nil"/>
              <w:bottom w:val="single" w:sz="4" w:space="0" w:color="auto"/>
              <w:right w:val="single" w:sz="4" w:space="0" w:color="auto"/>
            </w:tcBorders>
            <w:shd w:val="clear" w:color="auto" w:fill="auto"/>
            <w:noWrap/>
            <w:vAlign w:val="center"/>
          </w:tcPr>
          <w:p w:rsidR="00B809CB" w:rsidRPr="00E11029" w:rsidRDefault="00B809CB" w:rsidP="00845630">
            <w:pPr>
              <w:jc w:val="right"/>
            </w:pPr>
            <w:r>
              <w:t>0</w:t>
            </w:r>
            <w:r w:rsidRPr="00E11029">
              <w:t>,00</w:t>
            </w:r>
          </w:p>
        </w:tc>
      </w:tr>
      <w:tr w:rsidR="00B809CB" w:rsidRPr="00E11029" w:rsidTr="00845630">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tcPr>
          <w:p w:rsidR="00B809CB" w:rsidRPr="00E11029" w:rsidRDefault="00B809CB" w:rsidP="00845630">
            <w:pPr>
              <w:jc w:val="center"/>
            </w:pPr>
            <w:r>
              <w:t>18</w:t>
            </w:r>
          </w:p>
        </w:tc>
        <w:tc>
          <w:tcPr>
            <w:tcW w:w="7371" w:type="dxa"/>
            <w:tcBorders>
              <w:top w:val="nil"/>
              <w:left w:val="nil"/>
              <w:bottom w:val="single" w:sz="4" w:space="0" w:color="auto"/>
              <w:right w:val="single" w:sz="4" w:space="0" w:color="auto"/>
            </w:tcBorders>
            <w:shd w:val="clear" w:color="auto" w:fill="auto"/>
            <w:noWrap/>
            <w:vAlign w:val="center"/>
          </w:tcPr>
          <w:p w:rsidR="00B809CB" w:rsidRPr="00E11029" w:rsidRDefault="00B809CB" w:rsidP="00845630">
            <w:pPr>
              <w:rPr>
                <w:bCs/>
              </w:rPr>
            </w:pPr>
            <w:r>
              <w:rPr>
                <w:bCs/>
              </w:rPr>
              <w:t>RPL 2021 (recensământ de probă)</w:t>
            </w:r>
          </w:p>
        </w:tc>
        <w:tc>
          <w:tcPr>
            <w:tcW w:w="1701" w:type="dxa"/>
            <w:tcBorders>
              <w:top w:val="nil"/>
              <w:left w:val="nil"/>
              <w:bottom w:val="single" w:sz="4" w:space="0" w:color="auto"/>
              <w:right w:val="single" w:sz="4" w:space="0" w:color="auto"/>
            </w:tcBorders>
            <w:shd w:val="clear" w:color="auto" w:fill="auto"/>
            <w:noWrap/>
            <w:vAlign w:val="center"/>
          </w:tcPr>
          <w:p w:rsidR="00B809CB" w:rsidRDefault="00B809CB" w:rsidP="00845630">
            <w:pPr>
              <w:jc w:val="right"/>
            </w:pPr>
            <w:r>
              <w:t>97279,00</w:t>
            </w:r>
          </w:p>
        </w:tc>
      </w:tr>
      <w:tr w:rsidR="00B809CB" w:rsidRPr="00E11029" w:rsidTr="00845630">
        <w:trPr>
          <w:trHeight w:val="111"/>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809CB" w:rsidRPr="00E11029" w:rsidRDefault="00B809CB" w:rsidP="00845630">
            <w:pPr>
              <w:jc w:val="center"/>
            </w:pPr>
          </w:p>
        </w:tc>
        <w:tc>
          <w:tcPr>
            <w:tcW w:w="737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rPr>
                <w:bCs/>
              </w:rPr>
            </w:pPr>
            <w:r w:rsidRPr="00E11029">
              <w:rPr>
                <w:bCs/>
              </w:rPr>
              <w:t>TOTAL</w:t>
            </w:r>
          </w:p>
        </w:tc>
        <w:tc>
          <w:tcPr>
            <w:tcW w:w="1701" w:type="dxa"/>
            <w:tcBorders>
              <w:top w:val="nil"/>
              <w:left w:val="nil"/>
              <w:bottom w:val="single" w:sz="4" w:space="0" w:color="auto"/>
              <w:right w:val="single" w:sz="4" w:space="0" w:color="auto"/>
            </w:tcBorders>
            <w:shd w:val="clear" w:color="auto" w:fill="auto"/>
            <w:noWrap/>
            <w:vAlign w:val="center"/>
            <w:hideMark/>
          </w:tcPr>
          <w:p w:rsidR="00B809CB" w:rsidRPr="00E11029" w:rsidRDefault="00B809CB" w:rsidP="00845630">
            <w:pPr>
              <w:jc w:val="right"/>
            </w:pPr>
            <w:r>
              <w:t>441535</w:t>
            </w:r>
            <w:r w:rsidRPr="00E11029">
              <w:t>,00</w:t>
            </w:r>
          </w:p>
        </w:tc>
      </w:tr>
    </w:tbl>
    <w:p w:rsidR="00B809CB" w:rsidRPr="00E11029" w:rsidRDefault="00B809CB" w:rsidP="00B809CB">
      <w:pPr>
        <w:spacing w:line="360" w:lineRule="auto"/>
        <w:jc w:val="both"/>
        <w:rPr>
          <w:sz w:val="28"/>
          <w:szCs w:val="28"/>
          <w:lang w:val="ro-RO"/>
        </w:rPr>
      </w:pPr>
    </w:p>
    <w:p w:rsidR="00B809CB" w:rsidRPr="00E11029" w:rsidRDefault="00B809CB" w:rsidP="00B809CB">
      <w:pPr>
        <w:ind w:firstLine="720"/>
        <w:jc w:val="both"/>
        <w:rPr>
          <w:sz w:val="28"/>
          <w:szCs w:val="28"/>
          <w:lang w:val="ro-RO"/>
        </w:rPr>
      </w:pPr>
      <w:r w:rsidRPr="00E11029">
        <w:rPr>
          <w:sz w:val="28"/>
          <w:szCs w:val="28"/>
          <w:lang w:val="ro-RO"/>
        </w:rPr>
        <w:t>În ceea ce privește procesul de achiziții publice, achiziţiile sectoriale și concesiunile de lucrări şi servicii, la nivelul Direcției Județene de Statistică Argeș au fost încheiate</w:t>
      </w:r>
      <w:r w:rsidRPr="00E11029">
        <w:rPr>
          <w:b/>
          <w:sz w:val="28"/>
          <w:szCs w:val="28"/>
          <w:lang w:val="ro-RO"/>
        </w:rPr>
        <w:t xml:space="preserve"> </w:t>
      </w:r>
      <w:r>
        <w:rPr>
          <w:sz w:val="28"/>
          <w:szCs w:val="28"/>
          <w:lang w:val="ro-RO"/>
        </w:rPr>
        <w:t>în anul 2021</w:t>
      </w:r>
      <w:r w:rsidRPr="00E11029">
        <w:rPr>
          <w:sz w:val="28"/>
          <w:szCs w:val="28"/>
          <w:lang w:val="ro-RO"/>
        </w:rPr>
        <w:t xml:space="preserve"> următoarele contracte</w:t>
      </w:r>
      <w:r w:rsidRPr="00E11029">
        <w:rPr>
          <w:sz w:val="28"/>
          <w:szCs w:val="28"/>
        </w:rPr>
        <w:t>:</w:t>
      </w:r>
    </w:p>
    <w:p w:rsidR="00B809CB" w:rsidRPr="00E11029" w:rsidRDefault="00B809CB" w:rsidP="00B809CB">
      <w:pPr>
        <w:jc w:val="both"/>
        <w:rPr>
          <w:sz w:val="28"/>
          <w:szCs w:val="28"/>
          <w:lang w:val="ro-RO"/>
        </w:rPr>
      </w:pPr>
    </w:p>
    <w:tbl>
      <w:tblPr>
        <w:tblW w:w="98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8"/>
        <w:gridCol w:w="3657"/>
        <w:gridCol w:w="2835"/>
      </w:tblGrid>
      <w:tr w:rsidR="00B809CB" w:rsidRPr="00E11029" w:rsidTr="00845630">
        <w:trPr>
          <w:tblHeader/>
        </w:trPr>
        <w:tc>
          <w:tcPr>
            <w:tcW w:w="1985" w:type="dxa"/>
            <w:shd w:val="clear" w:color="auto" w:fill="auto"/>
          </w:tcPr>
          <w:p w:rsidR="00B809CB" w:rsidRPr="00E11029" w:rsidRDefault="00B809CB" w:rsidP="00845630">
            <w:pPr>
              <w:jc w:val="center"/>
              <w:rPr>
                <w:lang w:val="ro-RO"/>
              </w:rPr>
            </w:pPr>
            <w:r w:rsidRPr="00E11029">
              <w:rPr>
                <w:lang w:val="ro-RO"/>
              </w:rPr>
              <w:t>Denumire contract</w:t>
            </w:r>
          </w:p>
        </w:tc>
        <w:tc>
          <w:tcPr>
            <w:tcW w:w="1418" w:type="dxa"/>
            <w:shd w:val="clear" w:color="auto" w:fill="auto"/>
            <w:vAlign w:val="center"/>
          </w:tcPr>
          <w:p w:rsidR="00B809CB" w:rsidRPr="00E11029" w:rsidRDefault="00B809CB" w:rsidP="00845630">
            <w:pPr>
              <w:jc w:val="center"/>
              <w:rPr>
                <w:lang w:val="ro-RO"/>
              </w:rPr>
            </w:pPr>
            <w:r w:rsidRPr="00E11029">
              <w:rPr>
                <w:lang w:val="ro-RO"/>
              </w:rPr>
              <w:t>Sumă contract</w:t>
            </w:r>
          </w:p>
        </w:tc>
        <w:tc>
          <w:tcPr>
            <w:tcW w:w="3657" w:type="dxa"/>
            <w:shd w:val="clear" w:color="auto" w:fill="auto"/>
            <w:vAlign w:val="center"/>
          </w:tcPr>
          <w:p w:rsidR="00B809CB" w:rsidRPr="00E11029" w:rsidRDefault="00B809CB" w:rsidP="00845630">
            <w:pPr>
              <w:jc w:val="center"/>
              <w:rPr>
                <w:lang w:val="ro-RO"/>
              </w:rPr>
            </w:pPr>
            <w:r w:rsidRPr="00E11029">
              <w:rPr>
                <w:lang w:val="ro-RO"/>
              </w:rPr>
              <w:t>Procedură achiziții folosită</w:t>
            </w:r>
          </w:p>
        </w:tc>
        <w:tc>
          <w:tcPr>
            <w:tcW w:w="2835" w:type="dxa"/>
            <w:shd w:val="clear" w:color="auto" w:fill="auto"/>
            <w:vAlign w:val="center"/>
          </w:tcPr>
          <w:p w:rsidR="00B809CB" w:rsidRPr="00E11029" w:rsidRDefault="00B809CB" w:rsidP="00845630">
            <w:pPr>
              <w:jc w:val="center"/>
              <w:rPr>
                <w:lang w:val="ro-RO"/>
              </w:rPr>
            </w:pPr>
            <w:r w:rsidRPr="00E11029">
              <w:rPr>
                <w:lang w:val="ro-RO"/>
              </w:rPr>
              <w:t>Numele câștigătorului</w:t>
            </w:r>
          </w:p>
        </w:tc>
      </w:tr>
      <w:tr w:rsidR="00B809CB" w:rsidRPr="00E11029" w:rsidTr="00845630">
        <w:tc>
          <w:tcPr>
            <w:tcW w:w="1985" w:type="dxa"/>
            <w:shd w:val="clear" w:color="auto" w:fill="auto"/>
            <w:vAlign w:val="center"/>
          </w:tcPr>
          <w:p w:rsidR="00B809CB" w:rsidRPr="00E11029" w:rsidRDefault="00B809CB" w:rsidP="00845630">
            <w:pPr>
              <w:rPr>
                <w:lang w:val="ro-RO"/>
              </w:rPr>
            </w:pPr>
            <w:r w:rsidRPr="00E11029">
              <w:rPr>
                <w:lang w:val="ro-RO"/>
              </w:rPr>
              <w:t>Contract servicii pază</w:t>
            </w:r>
          </w:p>
        </w:tc>
        <w:tc>
          <w:tcPr>
            <w:tcW w:w="1418" w:type="dxa"/>
            <w:shd w:val="clear" w:color="auto" w:fill="auto"/>
            <w:vAlign w:val="center"/>
          </w:tcPr>
          <w:p w:rsidR="00B809CB" w:rsidRPr="00E11029" w:rsidRDefault="00B809CB" w:rsidP="00845630">
            <w:pPr>
              <w:jc w:val="right"/>
              <w:rPr>
                <w:lang w:val="ro-RO"/>
              </w:rPr>
            </w:pPr>
            <w:r>
              <w:rPr>
                <w:lang w:val="ro-RO"/>
              </w:rPr>
              <w:t>64966,36</w:t>
            </w:r>
            <w:r w:rsidRPr="00E11029">
              <w:rPr>
                <w:lang w:val="ro-RO"/>
              </w:rPr>
              <w:t xml:space="preserve"> lei</w:t>
            </w:r>
          </w:p>
        </w:tc>
        <w:tc>
          <w:tcPr>
            <w:tcW w:w="3657" w:type="dxa"/>
            <w:shd w:val="clear" w:color="auto" w:fill="auto"/>
          </w:tcPr>
          <w:p w:rsidR="00B809CB" w:rsidRPr="00E11029" w:rsidRDefault="00B809CB" w:rsidP="00845630">
            <w:pPr>
              <w:jc w:val="both"/>
              <w:rPr>
                <w:lang w:val="ro-RO"/>
              </w:rPr>
            </w:pPr>
            <w:r w:rsidRPr="00E11029">
              <w:rPr>
                <w:lang w:val="ro-RO"/>
              </w:rPr>
              <w:t>Achiziție făcută de Consiliul Județean Argeș. S-a repartizat către DJS Argeș cotă parte din contract, proporțional cu numărul de salariați.</w:t>
            </w:r>
          </w:p>
        </w:tc>
        <w:tc>
          <w:tcPr>
            <w:tcW w:w="2835" w:type="dxa"/>
            <w:shd w:val="clear" w:color="auto" w:fill="auto"/>
            <w:vAlign w:val="center"/>
          </w:tcPr>
          <w:p w:rsidR="00B809CB" w:rsidRPr="00E11029" w:rsidRDefault="00B809CB" w:rsidP="00845630">
            <w:pPr>
              <w:rPr>
                <w:lang w:val="ro-RO"/>
              </w:rPr>
            </w:pPr>
            <w:r w:rsidRPr="00E11029">
              <w:rPr>
                <w:lang w:val="ro-RO"/>
              </w:rPr>
              <w:t>Serviciul Public Județean de Pază și Ordine Argeș</w:t>
            </w:r>
          </w:p>
        </w:tc>
      </w:tr>
      <w:tr w:rsidR="00B809CB" w:rsidRPr="00E11029" w:rsidTr="00845630">
        <w:tc>
          <w:tcPr>
            <w:tcW w:w="1985" w:type="dxa"/>
            <w:shd w:val="clear" w:color="auto" w:fill="auto"/>
            <w:vAlign w:val="center"/>
          </w:tcPr>
          <w:p w:rsidR="00B809CB" w:rsidRPr="00E11029" w:rsidRDefault="00B809CB" w:rsidP="00845630">
            <w:pPr>
              <w:rPr>
                <w:lang w:val="ro-RO"/>
              </w:rPr>
            </w:pPr>
            <w:r w:rsidRPr="00E11029">
              <w:rPr>
                <w:lang w:val="ro-RO"/>
              </w:rPr>
              <w:t>Contract servicii curățenie</w:t>
            </w:r>
          </w:p>
        </w:tc>
        <w:tc>
          <w:tcPr>
            <w:tcW w:w="1418" w:type="dxa"/>
            <w:shd w:val="clear" w:color="auto" w:fill="auto"/>
            <w:vAlign w:val="center"/>
          </w:tcPr>
          <w:p w:rsidR="00B809CB" w:rsidRPr="00E11029" w:rsidRDefault="00B809CB" w:rsidP="00845630">
            <w:pPr>
              <w:jc w:val="center"/>
              <w:rPr>
                <w:lang w:val="ro-RO"/>
              </w:rPr>
            </w:pPr>
            <w:r>
              <w:rPr>
                <w:lang w:val="ro-RO"/>
              </w:rPr>
              <w:t>24276,0</w:t>
            </w:r>
            <w:r w:rsidRPr="00E11029">
              <w:rPr>
                <w:lang w:val="ro-RO"/>
              </w:rPr>
              <w:t>0 lei</w:t>
            </w:r>
          </w:p>
        </w:tc>
        <w:tc>
          <w:tcPr>
            <w:tcW w:w="3657" w:type="dxa"/>
            <w:shd w:val="clear" w:color="auto" w:fill="auto"/>
            <w:vAlign w:val="center"/>
          </w:tcPr>
          <w:p w:rsidR="00B809CB" w:rsidRPr="00E11029" w:rsidRDefault="00B809CB" w:rsidP="00845630">
            <w:pPr>
              <w:rPr>
                <w:lang w:val="ro-RO"/>
              </w:rPr>
            </w:pPr>
            <w:r w:rsidRPr="00E11029">
              <w:rPr>
                <w:lang w:val="ro-RO"/>
              </w:rPr>
              <w:t>SICAP</w:t>
            </w:r>
          </w:p>
        </w:tc>
        <w:tc>
          <w:tcPr>
            <w:tcW w:w="2835" w:type="dxa"/>
            <w:shd w:val="clear" w:color="auto" w:fill="auto"/>
            <w:vAlign w:val="center"/>
          </w:tcPr>
          <w:p w:rsidR="00B809CB" w:rsidRPr="00E11029" w:rsidRDefault="00B809CB" w:rsidP="00845630">
            <w:pPr>
              <w:rPr>
                <w:lang w:val="ro-RO"/>
              </w:rPr>
            </w:pPr>
            <w:r w:rsidRPr="00E11029">
              <w:rPr>
                <w:lang w:val="ro-RO"/>
              </w:rPr>
              <w:t>SC Temiz Activ SRL</w:t>
            </w:r>
          </w:p>
        </w:tc>
      </w:tr>
      <w:tr w:rsidR="00B809CB" w:rsidRPr="00E11029" w:rsidTr="00845630">
        <w:tc>
          <w:tcPr>
            <w:tcW w:w="1985" w:type="dxa"/>
            <w:shd w:val="clear" w:color="auto" w:fill="auto"/>
            <w:vAlign w:val="center"/>
          </w:tcPr>
          <w:p w:rsidR="00B809CB" w:rsidRPr="00E11029" w:rsidRDefault="00B809CB" w:rsidP="00845630">
            <w:pPr>
              <w:rPr>
                <w:lang w:val="ro-RO"/>
              </w:rPr>
            </w:pPr>
            <w:r w:rsidRPr="00E11029">
              <w:rPr>
                <w:lang w:val="ro-RO"/>
              </w:rPr>
              <w:t>Contract servicii informatice</w:t>
            </w:r>
          </w:p>
        </w:tc>
        <w:tc>
          <w:tcPr>
            <w:tcW w:w="1418" w:type="dxa"/>
            <w:shd w:val="clear" w:color="auto" w:fill="auto"/>
            <w:vAlign w:val="center"/>
          </w:tcPr>
          <w:p w:rsidR="00B809CB" w:rsidRPr="00E11029" w:rsidRDefault="00B809CB" w:rsidP="00845630">
            <w:pPr>
              <w:jc w:val="right"/>
              <w:rPr>
                <w:lang w:val="ro-RO"/>
              </w:rPr>
            </w:pPr>
            <w:r>
              <w:rPr>
                <w:lang w:val="ro-RO"/>
              </w:rPr>
              <w:t>9282</w:t>
            </w:r>
            <w:r w:rsidRPr="00E11029">
              <w:rPr>
                <w:lang w:val="ro-RO"/>
              </w:rPr>
              <w:t>,00 lei</w:t>
            </w:r>
          </w:p>
        </w:tc>
        <w:tc>
          <w:tcPr>
            <w:tcW w:w="3657" w:type="dxa"/>
            <w:shd w:val="clear" w:color="auto" w:fill="auto"/>
            <w:vAlign w:val="center"/>
          </w:tcPr>
          <w:p w:rsidR="00B809CB" w:rsidRPr="00E11029" w:rsidRDefault="00B809CB" w:rsidP="00845630">
            <w:pPr>
              <w:rPr>
                <w:b/>
                <w:lang w:val="ro-RO"/>
              </w:rPr>
            </w:pPr>
            <w:r w:rsidRPr="00E11029">
              <w:rPr>
                <w:lang w:val="ro-RO"/>
              </w:rPr>
              <w:t>SICAP</w:t>
            </w:r>
          </w:p>
        </w:tc>
        <w:tc>
          <w:tcPr>
            <w:tcW w:w="2835" w:type="dxa"/>
            <w:shd w:val="clear" w:color="auto" w:fill="auto"/>
            <w:vAlign w:val="center"/>
          </w:tcPr>
          <w:p w:rsidR="00B809CB" w:rsidRPr="00E11029" w:rsidRDefault="00B809CB" w:rsidP="00845630">
            <w:pPr>
              <w:rPr>
                <w:lang w:val="ro-RO"/>
              </w:rPr>
            </w:pPr>
            <w:r w:rsidRPr="00E11029">
              <w:rPr>
                <w:lang w:val="ro-RO"/>
              </w:rPr>
              <w:t xml:space="preserve">SC </w:t>
            </w:r>
            <w:r>
              <w:rPr>
                <w:lang w:val="ro-RO"/>
              </w:rPr>
              <w:t>Sobis Solutions</w:t>
            </w:r>
            <w:r w:rsidRPr="00E11029">
              <w:rPr>
                <w:lang w:val="ro-RO"/>
              </w:rPr>
              <w:t xml:space="preserve"> SRL</w:t>
            </w:r>
          </w:p>
        </w:tc>
      </w:tr>
    </w:tbl>
    <w:p w:rsidR="00B809CB" w:rsidRPr="00E11029" w:rsidRDefault="00B809CB" w:rsidP="00B809CB">
      <w:pPr>
        <w:jc w:val="both"/>
        <w:rPr>
          <w:b/>
          <w:sz w:val="28"/>
          <w:szCs w:val="28"/>
          <w:lang w:val="ro-RO"/>
        </w:rPr>
      </w:pPr>
    </w:p>
    <w:p w:rsidR="00B809CB" w:rsidRPr="00E11029" w:rsidRDefault="00B809CB" w:rsidP="00B809CB">
      <w:pPr>
        <w:ind w:firstLine="720"/>
        <w:jc w:val="both"/>
        <w:rPr>
          <w:sz w:val="28"/>
          <w:szCs w:val="28"/>
          <w:lang w:val="ro-RO"/>
        </w:rPr>
      </w:pPr>
      <w:r w:rsidRPr="00E11029">
        <w:rPr>
          <w:sz w:val="28"/>
          <w:szCs w:val="28"/>
          <w:lang w:val="ro-RO"/>
        </w:rPr>
        <w:t>Pentru achizițiile de bunuri și servicii, Direcția Județeană de Statisti</w:t>
      </w:r>
      <w:r>
        <w:rPr>
          <w:sz w:val="28"/>
          <w:szCs w:val="28"/>
          <w:lang w:val="ro-RO"/>
        </w:rPr>
        <w:t>că Argeș a utilizat în anul 2021</w:t>
      </w:r>
      <w:r w:rsidRPr="00E11029">
        <w:rPr>
          <w:sz w:val="28"/>
          <w:szCs w:val="28"/>
          <w:lang w:val="ro-RO"/>
        </w:rPr>
        <w:t xml:space="preserve"> doar procedura de cumpărare directă. S-au efectu</w:t>
      </w:r>
      <w:r>
        <w:rPr>
          <w:sz w:val="28"/>
          <w:szCs w:val="28"/>
          <w:lang w:val="ro-RO"/>
        </w:rPr>
        <w:t>at astfel, în cursul anului 2021, un număr de 30</w:t>
      </w:r>
      <w:r w:rsidRPr="00E11029">
        <w:rPr>
          <w:sz w:val="28"/>
          <w:szCs w:val="28"/>
          <w:lang w:val="ro-RO"/>
        </w:rPr>
        <w:t xml:space="preserve"> cumpărări directe, pentru care au fost necesare, în  </w:t>
      </w:r>
      <w:r>
        <w:rPr>
          <w:sz w:val="28"/>
          <w:szCs w:val="28"/>
          <w:lang w:val="ro-RO"/>
        </w:rPr>
        <w:t xml:space="preserve">                       medie, 80</w:t>
      </w:r>
      <w:r w:rsidRPr="00E11029">
        <w:rPr>
          <w:sz w:val="28"/>
          <w:szCs w:val="28"/>
          <w:lang w:val="ro-RO"/>
        </w:rPr>
        <w:t xml:space="preserve"> ore.</w:t>
      </w:r>
    </w:p>
    <w:p w:rsidR="00B809CB" w:rsidRPr="00E11029" w:rsidRDefault="00B809CB" w:rsidP="00B809CB">
      <w:pPr>
        <w:ind w:firstLine="720"/>
        <w:jc w:val="both"/>
        <w:rPr>
          <w:sz w:val="28"/>
          <w:szCs w:val="28"/>
          <w:lang w:val="ro-RO"/>
        </w:rPr>
      </w:pPr>
    </w:p>
    <w:p w:rsidR="00B809CB" w:rsidRPr="00E11029" w:rsidRDefault="00B809CB" w:rsidP="00B809CB">
      <w:pPr>
        <w:ind w:firstLine="720"/>
        <w:jc w:val="both"/>
        <w:rPr>
          <w:sz w:val="28"/>
          <w:szCs w:val="28"/>
        </w:rPr>
      </w:pPr>
      <w:r w:rsidRPr="00E11029">
        <w:rPr>
          <w:sz w:val="28"/>
          <w:szCs w:val="28"/>
        </w:rPr>
        <w:t>Nu au fost contestații formulate la Consiliului Naţional de Soluţionare a Contestaţiilor în legătură cu achizițiile publice efectuate și nu au fost proceduri anulate sau în procedură de anulare.</w:t>
      </w:r>
    </w:p>
    <w:p w:rsidR="00B809CB" w:rsidRPr="00D33612" w:rsidRDefault="00B809CB" w:rsidP="00B809CB">
      <w:pPr>
        <w:ind w:firstLine="840"/>
        <w:jc w:val="both"/>
        <w:rPr>
          <w:sz w:val="28"/>
          <w:szCs w:val="28"/>
          <w:lang w:val="ro-RO"/>
        </w:rPr>
      </w:pPr>
      <w:r w:rsidRPr="00D33612">
        <w:rPr>
          <w:sz w:val="28"/>
          <w:szCs w:val="28"/>
          <w:lang w:val="ro-RO"/>
        </w:rPr>
        <w:t>Referitor la managementul resurselor umane, în baza Ordinelor Preşedintelui INS cu nr. 1245 şi 1246 din 21.12.2020 pentru aprobarea  ștatului de funcții și a                structurii organizatorice, Direcţia Judeţeană de Statistică Argeş a fost reorganizată, numărul maxim de posturi finanţate de la bugetul de stat fiind stabilit la 33 din care 32 de funcţionari publici şi 1 salariat personal contractual.</w:t>
      </w:r>
    </w:p>
    <w:p w:rsidR="00B809CB" w:rsidRPr="005563C5" w:rsidRDefault="00B809CB" w:rsidP="00B809CB">
      <w:pPr>
        <w:ind w:firstLine="540"/>
        <w:jc w:val="both"/>
        <w:rPr>
          <w:sz w:val="28"/>
          <w:szCs w:val="28"/>
          <w:lang w:val="ro-RO"/>
        </w:rPr>
      </w:pPr>
      <w:r w:rsidRPr="00D33612">
        <w:rPr>
          <w:sz w:val="28"/>
          <w:szCs w:val="28"/>
          <w:lang w:val="ro-RO"/>
        </w:rPr>
        <w:t xml:space="preserve"> În Direcţia Judeţeană de Statistică Argeş funcționează începând cu data </w:t>
      </w:r>
      <w:r>
        <w:rPr>
          <w:sz w:val="28"/>
          <w:szCs w:val="28"/>
          <w:lang w:val="ro-RO"/>
        </w:rPr>
        <w:t xml:space="preserve">                         </w:t>
      </w:r>
      <w:r w:rsidRPr="00D33612">
        <w:rPr>
          <w:sz w:val="28"/>
          <w:szCs w:val="28"/>
          <w:lang w:val="ro-RO"/>
        </w:rPr>
        <w:t xml:space="preserve">de 21.12 2020 un serviciu coordonat de şef de serviciu şi trei compartimente coordonate de </w:t>
      </w:r>
      <w:r w:rsidRPr="005563C5">
        <w:rPr>
          <w:sz w:val="28"/>
          <w:szCs w:val="28"/>
          <w:lang w:val="ro-RO"/>
        </w:rPr>
        <w:t>directorul executiv</w:t>
      </w:r>
      <w:r>
        <w:rPr>
          <w:sz w:val="28"/>
          <w:szCs w:val="28"/>
          <w:lang w:val="ro-RO"/>
        </w:rPr>
        <w:t xml:space="preserve"> adjunct</w:t>
      </w:r>
      <w:r w:rsidRPr="005563C5">
        <w:rPr>
          <w:sz w:val="28"/>
          <w:szCs w:val="28"/>
          <w:lang w:val="ro-RO"/>
        </w:rPr>
        <w:t xml:space="preserve">, conform organigramei prevăzută în </w:t>
      </w:r>
      <w:r w:rsidRPr="005563C5">
        <w:rPr>
          <w:b/>
          <w:sz w:val="28"/>
          <w:szCs w:val="28"/>
          <w:lang w:val="ro-RO"/>
        </w:rPr>
        <w:t>anexa nr. 1</w:t>
      </w:r>
      <w:r w:rsidRPr="005563C5">
        <w:rPr>
          <w:sz w:val="28"/>
          <w:szCs w:val="28"/>
          <w:lang w:val="ro-RO"/>
        </w:rPr>
        <w:t xml:space="preserve"> la prezentul raport. </w:t>
      </w:r>
      <w:r>
        <w:rPr>
          <w:sz w:val="28"/>
          <w:szCs w:val="28"/>
          <w:lang w:val="ro-RO"/>
        </w:rPr>
        <w:t xml:space="preserve">Pe parcursul anului 2021 </w:t>
      </w:r>
      <w:r w:rsidRPr="005563C5">
        <w:rPr>
          <w:sz w:val="28"/>
          <w:szCs w:val="28"/>
          <w:lang w:val="ro-RO"/>
        </w:rPr>
        <w:t>instituția a fost încad</w:t>
      </w:r>
      <w:r>
        <w:rPr>
          <w:sz w:val="28"/>
          <w:szCs w:val="28"/>
          <w:lang w:val="ro-RO"/>
        </w:rPr>
        <w:t>rată cu 1 director executiv și 1 șef</w:t>
      </w:r>
      <w:r w:rsidRPr="005563C5">
        <w:rPr>
          <w:sz w:val="28"/>
          <w:szCs w:val="28"/>
          <w:lang w:val="ro-RO"/>
        </w:rPr>
        <w:t xml:space="preserve"> de serviciu.</w:t>
      </w:r>
    </w:p>
    <w:p w:rsidR="00B809CB" w:rsidRPr="005563C5" w:rsidRDefault="00B809CB" w:rsidP="00B809CB">
      <w:pPr>
        <w:ind w:firstLine="540"/>
        <w:jc w:val="both"/>
        <w:rPr>
          <w:sz w:val="28"/>
          <w:szCs w:val="28"/>
          <w:lang w:val="ro-RO"/>
        </w:rPr>
      </w:pPr>
      <w:r>
        <w:rPr>
          <w:sz w:val="28"/>
          <w:szCs w:val="28"/>
          <w:lang w:val="ro-RO"/>
        </w:rPr>
        <w:t xml:space="preserve"> </w:t>
      </w:r>
      <w:r w:rsidRPr="005563C5">
        <w:rPr>
          <w:sz w:val="28"/>
          <w:szCs w:val="28"/>
          <w:lang w:val="ro-RO"/>
        </w:rPr>
        <w:t>O relativă fluctuație a fost înregistrată în cadrul corpului operatorilor statistici care realizează anchete statistice în gospodăriile</w:t>
      </w:r>
      <w:r>
        <w:rPr>
          <w:sz w:val="28"/>
          <w:szCs w:val="28"/>
          <w:lang w:val="ro-RO"/>
        </w:rPr>
        <w:t xml:space="preserve"> </w:t>
      </w:r>
      <w:r w:rsidRPr="005563C5">
        <w:rPr>
          <w:sz w:val="28"/>
          <w:szCs w:val="28"/>
          <w:lang w:val="ro-RO"/>
        </w:rPr>
        <w:t>populației și exploatații agricole.</w:t>
      </w:r>
    </w:p>
    <w:p w:rsidR="00B809CB" w:rsidRPr="005563C5" w:rsidRDefault="00B809CB" w:rsidP="00B809CB">
      <w:pPr>
        <w:ind w:firstLine="540"/>
        <w:jc w:val="both"/>
        <w:rPr>
          <w:sz w:val="28"/>
          <w:szCs w:val="28"/>
          <w:lang w:val="ro-RO"/>
        </w:rPr>
      </w:pPr>
      <w:r w:rsidRPr="005563C5">
        <w:rPr>
          <w:sz w:val="28"/>
          <w:szCs w:val="28"/>
          <w:lang w:val="ro-RO"/>
        </w:rPr>
        <w:t>Pentru realizarea lucrărilor prevăzute în Programul Statistic Național Anual, Direcţia Judeţeană de Statistică Argeş a utilizat</w:t>
      </w:r>
      <w:r>
        <w:rPr>
          <w:sz w:val="28"/>
          <w:szCs w:val="28"/>
          <w:lang w:val="ro-RO"/>
        </w:rPr>
        <w:t xml:space="preserve"> </w:t>
      </w:r>
      <w:r w:rsidRPr="005563C5">
        <w:rPr>
          <w:sz w:val="28"/>
          <w:szCs w:val="28"/>
          <w:lang w:val="ro-RO"/>
        </w:rPr>
        <w:t>anchetatori corespunzător celor 24 centre EMZOT în care s-au realizat anchetele în gospodării (ABF, AMIGO), precum şi anchetatori pentru anchetele:</w:t>
      </w:r>
    </w:p>
    <w:p w:rsidR="00B809CB" w:rsidRPr="005563C5" w:rsidRDefault="00B809CB" w:rsidP="00B809CB">
      <w:pPr>
        <w:numPr>
          <w:ilvl w:val="0"/>
          <w:numId w:val="18"/>
        </w:numPr>
        <w:tabs>
          <w:tab w:val="clear" w:pos="1560"/>
          <w:tab w:val="num" w:pos="426"/>
        </w:tabs>
        <w:ind w:hanging="1560"/>
        <w:jc w:val="both"/>
        <w:rPr>
          <w:sz w:val="28"/>
          <w:szCs w:val="28"/>
          <w:lang w:val="ro-RO"/>
        </w:rPr>
      </w:pPr>
      <w:r w:rsidRPr="005563C5">
        <w:rPr>
          <w:sz w:val="28"/>
          <w:szCs w:val="28"/>
          <w:lang w:val="ro-RO"/>
        </w:rPr>
        <w:t>Ancheta statistică privind Cererea Turistică a Rezidenţilor (ACTR);</w:t>
      </w:r>
    </w:p>
    <w:p w:rsidR="00B809CB" w:rsidRPr="005563C5" w:rsidRDefault="00B809CB" w:rsidP="00B809CB">
      <w:pPr>
        <w:numPr>
          <w:ilvl w:val="0"/>
          <w:numId w:val="17"/>
        </w:numPr>
        <w:tabs>
          <w:tab w:val="clear" w:pos="1560"/>
          <w:tab w:val="num" w:pos="426"/>
        </w:tabs>
        <w:ind w:hanging="1560"/>
        <w:jc w:val="both"/>
        <w:rPr>
          <w:sz w:val="28"/>
          <w:szCs w:val="28"/>
          <w:lang w:val="ro-RO"/>
        </w:rPr>
      </w:pPr>
      <w:r w:rsidRPr="005563C5">
        <w:rPr>
          <w:sz w:val="28"/>
          <w:szCs w:val="28"/>
          <w:lang w:val="ro-RO"/>
        </w:rPr>
        <w:t xml:space="preserve">Cercetarea statistică privind efectivele de porcine existente la </w:t>
      </w:r>
      <w:r>
        <w:rPr>
          <w:sz w:val="28"/>
          <w:szCs w:val="28"/>
          <w:lang w:val="ro-RO"/>
        </w:rPr>
        <w:t>1 mai 2021</w:t>
      </w:r>
      <w:r w:rsidRPr="005563C5">
        <w:rPr>
          <w:sz w:val="28"/>
          <w:szCs w:val="28"/>
          <w:lang w:val="ro-RO"/>
        </w:rPr>
        <w:t>;</w:t>
      </w:r>
    </w:p>
    <w:p w:rsidR="00B809CB" w:rsidRPr="005563C5" w:rsidRDefault="00B809CB" w:rsidP="00B809CB">
      <w:pPr>
        <w:numPr>
          <w:ilvl w:val="0"/>
          <w:numId w:val="17"/>
        </w:numPr>
        <w:tabs>
          <w:tab w:val="clear" w:pos="1560"/>
          <w:tab w:val="num" w:pos="426"/>
        </w:tabs>
        <w:ind w:hanging="1560"/>
        <w:jc w:val="both"/>
        <w:rPr>
          <w:sz w:val="28"/>
          <w:szCs w:val="28"/>
          <w:lang w:val="ro-RO"/>
        </w:rPr>
      </w:pPr>
      <w:r w:rsidRPr="005563C5">
        <w:rPr>
          <w:sz w:val="28"/>
          <w:szCs w:val="28"/>
          <w:lang w:val="ro-RO"/>
        </w:rPr>
        <w:t>Cercetarea statistică privind efectivele de bovine existente</w:t>
      </w:r>
      <w:r>
        <w:rPr>
          <w:sz w:val="28"/>
          <w:szCs w:val="28"/>
          <w:lang w:val="ro-RO"/>
        </w:rPr>
        <w:t xml:space="preserve"> la 1 iunie 2021</w:t>
      </w:r>
      <w:r w:rsidRPr="005563C5">
        <w:rPr>
          <w:sz w:val="28"/>
          <w:szCs w:val="28"/>
          <w:lang w:val="ro-RO"/>
        </w:rPr>
        <w:t>;</w:t>
      </w:r>
    </w:p>
    <w:p w:rsidR="00B809CB" w:rsidRPr="005563C5" w:rsidRDefault="00B809CB" w:rsidP="00B809CB">
      <w:pPr>
        <w:numPr>
          <w:ilvl w:val="0"/>
          <w:numId w:val="17"/>
        </w:numPr>
        <w:tabs>
          <w:tab w:val="clear" w:pos="1560"/>
          <w:tab w:val="num" w:pos="426"/>
        </w:tabs>
        <w:ind w:left="426" w:hanging="426"/>
        <w:jc w:val="both"/>
        <w:rPr>
          <w:sz w:val="28"/>
          <w:szCs w:val="28"/>
          <w:lang w:val="ro-RO"/>
        </w:rPr>
      </w:pPr>
      <w:r w:rsidRPr="005563C5">
        <w:rPr>
          <w:sz w:val="28"/>
          <w:szCs w:val="28"/>
          <w:lang w:val="ro-RO"/>
        </w:rPr>
        <w:t>Cercetarea statistică privind efectivele de animale existente la 01 decembrie şi producţ</w:t>
      </w:r>
      <w:r>
        <w:rPr>
          <w:sz w:val="28"/>
          <w:szCs w:val="28"/>
          <w:lang w:val="ro-RO"/>
        </w:rPr>
        <w:t>ia animală obţinută în anul 2021</w:t>
      </w:r>
      <w:r w:rsidRPr="005563C5">
        <w:rPr>
          <w:sz w:val="28"/>
          <w:szCs w:val="28"/>
          <w:lang w:val="ro-RO"/>
        </w:rPr>
        <w:t>;</w:t>
      </w:r>
    </w:p>
    <w:p w:rsidR="00B809CB" w:rsidRPr="005563C5" w:rsidRDefault="00B809CB" w:rsidP="00B809CB">
      <w:pPr>
        <w:numPr>
          <w:ilvl w:val="0"/>
          <w:numId w:val="17"/>
        </w:numPr>
        <w:tabs>
          <w:tab w:val="clear" w:pos="1560"/>
          <w:tab w:val="num" w:pos="426"/>
        </w:tabs>
        <w:ind w:left="426" w:hanging="426"/>
        <w:jc w:val="both"/>
        <w:rPr>
          <w:sz w:val="28"/>
          <w:szCs w:val="28"/>
          <w:lang w:val="ro-RO"/>
        </w:rPr>
      </w:pPr>
      <w:r w:rsidRPr="005563C5">
        <w:rPr>
          <w:sz w:val="28"/>
          <w:szCs w:val="28"/>
          <w:lang w:val="ro-RO"/>
        </w:rPr>
        <w:t>Cercetarea statistică privind preţurile produselor agricole din pieţele agroalimentare, la producători, angrosişti şi exploataţii agricole, în oboare şi ale produselor ce reprezintă consumul intermediar în agricultură;</w:t>
      </w:r>
    </w:p>
    <w:p w:rsidR="00B809CB" w:rsidRPr="005563C5" w:rsidRDefault="00B809CB" w:rsidP="00B809CB">
      <w:pPr>
        <w:numPr>
          <w:ilvl w:val="0"/>
          <w:numId w:val="17"/>
        </w:numPr>
        <w:tabs>
          <w:tab w:val="clear" w:pos="1560"/>
          <w:tab w:val="num" w:pos="426"/>
        </w:tabs>
        <w:ind w:left="426" w:hanging="426"/>
        <w:jc w:val="both"/>
        <w:rPr>
          <w:sz w:val="28"/>
          <w:szCs w:val="28"/>
          <w:lang w:val="ro-RO"/>
        </w:rPr>
      </w:pPr>
      <w:r w:rsidRPr="005563C5">
        <w:rPr>
          <w:sz w:val="28"/>
          <w:szCs w:val="28"/>
          <w:lang w:val="ro-RO"/>
        </w:rPr>
        <w:t xml:space="preserve">Cercetarea statistică privind producţia vegetală la principalele culturi în anul </w:t>
      </w:r>
      <w:r>
        <w:rPr>
          <w:sz w:val="28"/>
          <w:szCs w:val="28"/>
          <w:lang w:val="ro-RO"/>
        </w:rPr>
        <w:t xml:space="preserve">                       agricol 2010– 2021</w:t>
      </w:r>
      <w:r w:rsidRPr="005563C5">
        <w:rPr>
          <w:sz w:val="28"/>
          <w:szCs w:val="28"/>
          <w:lang w:val="ro-RO"/>
        </w:rPr>
        <w:t>;</w:t>
      </w:r>
    </w:p>
    <w:p w:rsidR="00B809CB" w:rsidRPr="005563C5" w:rsidRDefault="00B809CB" w:rsidP="00B809CB">
      <w:pPr>
        <w:numPr>
          <w:ilvl w:val="0"/>
          <w:numId w:val="17"/>
        </w:numPr>
        <w:tabs>
          <w:tab w:val="clear" w:pos="1560"/>
          <w:tab w:val="num" w:pos="426"/>
        </w:tabs>
        <w:ind w:left="426" w:hanging="426"/>
        <w:jc w:val="both"/>
        <w:rPr>
          <w:sz w:val="28"/>
          <w:szCs w:val="28"/>
          <w:lang w:val="ro-RO"/>
        </w:rPr>
      </w:pPr>
      <w:r w:rsidRPr="005563C5">
        <w:rPr>
          <w:sz w:val="28"/>
          <w:szCs w:val="28"/>
          <w:lang w:val="ro-RO"/>
        </w:rPr>
        <w:t>Ancheta statistică privind cheltuielile turistice ale nerezidenţilor cazaţi în structurile de cazare turistică colective (ACNER);</w:t>
      </w:r>
    </w:p>
    <w:p w:rsidR="00B809CB" w:rsidRPr="005563C5" w:rsidRDefault="00B809CB" w:rsidP="00B809CB">
      <w:pPr>
        <w:numPr>
          <w:ilvl w:val="0"/>
          <w:numId w:val="17"/>
        </w:numPr>
        <w:tabs>
          <w:tab w:val="clear" w:pos="1560"/>
          <w:tab w:val="num" w:pos="426"/>
        </w:tabs>
        <w:ind w:hanging="1560"/>
        <w:jc w:val="both"/>
        <w:rPr>
          <w:sz w:val="28"/>
          <w:szCs w:val="28"/>
          <w:lang w:val="ro-RO"/>
        </w:rPr>
      </w:pPr>
      <w:r w:rsidRPr="005563C5">
        <w:rPr>
          <w:sz w:val="28"/>
          <w:szCs w:val="28"/>
          <w:lang w:val="ro-RO"/>
        </w:rPr>
        <w:t>Cercetarea statistică Volumul de lemn exploatat (SILV 5);</w:t>
      </w:r>
    </w:p>
    <w:p w:rsidR="00B809CB" w:rsidRPr="005563C5" w:rsidRDefault="00B809CB" w:rsidP="00B809CB">
      <w:pPr>
        <w:numPr>
          <w:ilvl w:val="0"/>
          <w:numId w:val="17"/>
        </w:numPr>
        <w:tabs>
          <w:tab w:val="clear" w:pos="1560"/>
          <w:tab w:val="num" w:pos="426"/>
        </w:tabs>
        <w:ind w:hanging="1560"/>
        <w:jc w:val="both"/>
        <w:rPr>
          <w:sz w:val="28"/>
          <w:szCs w:val="28"/>
          <w:lang w:val="ro-RO"/>
        </w:rPr>
      </w:pPr>
      <w:r w:rsidRPr="005563C5">
        <w:rPr>
          <w:sz w:val="28"/>
          <w:szCs w:val="28"/>
          <w:lang w:val="ro-RO"/>
        </w:rPr>
        <w:t>Ancheta privid Pesticidele pe Piaţă;</w:t>
      </w:r>
    </w:p>
    <w:p w:rsidR="00B809CB" w:rsidRPr="005563C5" w:rsidRDefault="00B809CB" w:rsidP="00B809CB">
      <w:pPr>
        <w:numPr>
          <w:ilvl w:val="0"/>
          <w:numId w:val="17"/>
        </w:numPr>
        <w:tabs>
          <w:tab w:val="clear" w:pos="1560"/>
          <w:tab w:val="num" w:pos="426"/>
        </w:tabs>
        <w:ind w:hanging="1560"/>
        <w:jc w:val="both"/>
        <w:rPr>
          <w:sz w:val="28"/>
          <w:szCs w:val="28"/>
          <w:lang w:val="ro-RO"/>
        </w:rPr>
      </w:pPr>
      <w:r w:rsidRPr="005563C5">
        <w:rPr>
          <w:sz w:val="28"/>
          <w:szCs w:val="28"/>
          <w:lang w:val="ro-RO"/>
        </w:rPr>
        <w:t>Ancheta privind Condiţiile de Viaţă (ACAV);</w:t>
      </w:r>
    </w:p>
    <w:p w:rsidR="00B809CB" w:rsidRPr="005563C5" w:rsidRDefault="00B809CB" w:rsidP="00B809CB">
      <w:pPr>
        <w:numPr>
          <w:ilvl w:val="0"/>
          <w:numId w:val="17"/>
        </w:numPr>
        <w:tabs>
          <w:tab w:val="clear" w:pos="1560"/>
          <w:tab w:val="num" w:pos="426"/>
        </w:tabs>
        <w:ind w:left="426" w:hanging="426"/>
        <w:jc w:val="both"/>
        <w:rPr>
          <w:sz w:val="28"/>
          <w:szCs w:val="28"/>
          <w:lang w:val="ro-RO"/>
        </w:rPr>
      </w:pPr>
      <w:r w:rsidRPr="005563C5">
        <w:rPr>
          <w:sz w:val="28"/>
          <w:szCs w:val="28"/>
          <w:lang w:val="ro-RO"/>
        </w:rPr>
        <w:t>Alte cercetări statistice în gospodării şi exploataţii agricole finanţate din fonduri nerambursabile (TIC, CIC, Mobilitatea pasagerilor și a traficului rutier ).</w:t>
      </w:r>
    </w:p>
    <w:p w:rsidR="00B809CB" w:rsidRPr="005563C5" w:rsidRDefault="00B809CB" w:rsidP="00B809CB">
      <w:pPr>
        <w:ind w:firstLine="900"/>
        <w:jc w:val="both"/>
        <w:rPr>
          <w:sz w:val="28"/>
          <w:szCs w:val="28"/>
          <w:lang w:val="ro-RO"/>
        </w:rPr>
      </w:pPr>
      <w:r w:rsidRPr="005563C5">
        <w:rPr>
          <w:sz w:val="28"/>
          <w:szCs w:val="28"/>
          <w:lang w:val="ro-RO"/>
        </w:rPr>
        <w:t>În aceste condiţii, în cursul anului 20</w:t>
      </w:r>
      <w:r>
        <w:rPr>
          <w:sz w:val="28"/>
          <w:szCs w:val="28"/>
          <w:lang w:val="ro-RO"/>
        </w:rPr>
        <w:t>20</w:t>
      </w:r>
      <w:r w:rsidRPr="005563C5">
        <w:rPr>
          <w:sz w:val="28"/>
          <w:szCs w:val="28"/>
          <w:lang w:val="ro-RO"/>
        </w:rPr>
        <w:t xml:space="preserve">, din bugetul alocat Direcţiei Judeţene de Statistică Argeş au fost </w:t>
      </w:r>
      <w:r w:rsidRPr="0045421B">
        <w:rPr>
          <w:sz w:val="28"/>
          <w:szCs w:val="28"/>
          <w:lang w:val="ro-RO"/>
        </w:rPr>
        <w:t xml:space="preserve">plătiţi </w:t>
      </w:r>
      <w:r>
        <w:rPr>
          <w:sz w:val="28"/>
          <w:szCs w:val="28"/>
          <w:lang w:val="ro-RO"/>
        </w:rPr>
        <w:t>73</w:t>
      </w:r>
      <w:r w:rsidRPr="0045421B">
        <w:rPr>
          <w:sz w:val="28"/>
          <w:szCs w:val="28"/>
          <w:lang w:val="ro-RO"/>
        </w:rPr>
        <w:t xml:space="preserve"> anchetatori</w:t>
      </w:r>
      <w:r w:rsidRPr="005563C5">
        <w:rPr>
          <w:sz w:val="28"/>
          <w:szCs w:val="28"/>
          <w:lang w:val="ro-RO"/>
        </w:rPr>
        <w:t xml:space="preserve">. </w:t>
      </w:r>
    </w:p>
    <w:p w:rsidR="00B809CB" w:rsidRPr="005563C5" w:rsidRDefault="00B809CB" w:rsidP="00B809CB">
      <w:pPr>
        <w:ind w:firstLine="840"/>
        <w:jc w:val="both"/>
        <w:rPr>
          <w:sz w:val="28"/>
          <w:szCs w:val="28"/>
          <w:lang w:val="ro-RO"/>
        </w:rPr>
      </w:pPr>
      <w:r w:rsidRPr="005563C5">
        <w:rPr>
          <w:sz w:val="28"/>
          <w:szCs w:val="28"/>
          <w:lang w:val="ro-RO"/>
        </w:rPr>
        <w:t xml:space="preserve"> </w:t>
      </w:r>
      <w:r>
        <w:rPr>
          <w:sz w:val="28"/>
          <w:szCs w:val="28"/>
          <w:lang w:val="ro-RO"/>
        </w:rPr>
        <w:t>În anul 2021 nu</w:t>
      </w:r>
      <w:r w:rsidRPr="005563C5">
        <w:rPr>
          <w:sz w:val="28"/>
          <w:szCs w:val="28"/>
          <w:lang w:val="ro-RO"/>
        </w:rPr>
        <w:t xml:space="preserve"> au fost organizate concursuri de recrutare</w:t>
      </w:r>
      <w:r>
        <w:rPr>
          <w:sz w:val="28"/>
          <w:szCs w:val="28"/>
          <w:lang w:val="ro-RO"/>
        </w:rPr>
        <w:t>.</w:t>
      </w:r>
      <w:r w:rsidRPr="005563C5">
        <w:rPr>
          <w:sz w:val="28"/>
          <w:szCs w:val="28"/>
          <w:lang w:val="ro-RO"/>
        </w:rPr>
        <w:t xml:space="preserve"> </w:t>
      </w:r>
    </w:p>
    <w:p w:rsidR="00B809CB" w:rsidRPr="005563C5" w:rsidRDefault="00B809CB" w:rsidP="00B809CB">
      <w:pPr>
        <w:ind w:firstLine="840"/>
        <w:jc w:val="both"/>
        <w:rPr>
          <w:sz w:val="28"/>
          <w:szCs w:val="28"/>
          <w:lang w:val="ro-RO"/>
        </w:rPr>
      </w:pPr>
      <w:r>
        <w:rPr>
          <w:sz w:val="28"/>
          <w:szCs w:val="28"/>
          <w:lang w:val="ro-RO"/>
        </w:rPr>
        <w:lastRenderedPageBreak/>
        <w:t xml:space="preserve"> La finele anului 2021</w:t>
      </w:r>
      <w:r w:rsidRPr="005563C5">
        <w:rPr>
          <w:sz w:val="28"/>
          <w:szCs w:val="28"/>
          <w:lang w:val="ro-RO"/>
        </w:rPr>
        <w:t xml:space="preserve"> Direcţia Judeţeană de Statistică Argeş avea </w:t>
      </w:r>
      <w:r>
        <w:rPr>
          <w:sz w:val="28"/>
          <w:szCs w:val="28"/>
          <w:lang w:val="ro-RO"/>
        </w:rPr>
        <w:t>1 post vacant de director executiv adjunct și 3</w:t>
      </w:r>
      <w:r w:rsidRPr="005563C5">
        <w:rPr>
          <w:sz w:val="28"/>
          <w:szCs w:val="28"/>
          <w:lang w:val="ro-RO"/>
        </w:rPr>
        <w:t xml:space="preserve"> post</w:t>
      </w:r>
      <w:r>
        <w:rPr>
          <w:sz w:val="28"/>
          <w:szCs w:val="28"/>
          <w:lang w:val="ro-RO"/>
        </w:rPr>
        <w:t>uri</w:t>
      </w:r>
      <w:r w:rsidRPr="005563C5">
        <w:rPr>
          <w:sz w:val="28"/>
          <w:szCs w:val="28"/>
          <w:lang w:val="ro-RO"/>
        </w:rPr>
        <w:t xml:space="preserve"> vacant</w:t>
      </w:r>
      <w:r>
        <w:rPr>
          <w:sz w:val="28"/>
          <w:szCs w:val="28"/>
          <w:lang w:val="ro-RO"/>
        </w:rPr>
        <w:t xml:space="preserve">e </w:t>
      </w:r>
      <w:r w:rsidRPr="005563C5">
        <w:rPr>
          <w:sz w:val="28"/>
          <w:szCs w:val="28"/>
          <w:lang w:val="ro-RO"/>
        </w:rPr>
        <w:t>aferent</w:t>
      </w:r>
      <w:r>
        <w:rPr>
          <w:sz w:val="28"/>
          <w:szCs w:val="28"/>
          <w:lang w:val="ro-RO"/>
        </w:rPr>
        <w:t>e</w:t>
      </w:r>
      <w:r w:rsidRPr="005563C5">
        <w:rPr>
          <w:sz w:val="28"/>
          <w:szCs w:val="28"/>
          <w:lang w:val="ro-RO"/>
        </w:rPr>
        <w:t xml:space="preserve"> personalului de execuţie</w:t>
      </w:r>
      <w:r>
        <w:rPr>
          <w:sz w:val="28"/>
          <w:szCs w:val="28"/>
          <w:lang w:val="ro-RO"/>
        </w:rPr>
        <w:t>.</w:t>
      </w:r>
      <w:r w:rsidRPr="005563C5">
        <w:rPr>
          <w:sz w:val="28"/>
          <w:szCs w:val="28"/>
          <w:lang w:val="ro-RO"/>
        </w:rPr>
        <w:t xml:space="preserve"> </w:t>
      </w:r>
    </w:p>
    <w:p w:rsidR="00B809CB" w:rsidRDefault="00B809CB" w:rsidP="00B809CB">
      <w:pPr>
        <w:ind w:firstLine="840"/>
        <w:jc w:val="both"/>
        <w:rPr>
          <w:sz w:val="28"/>
          <w:szCs w:val="28"/>
          <w:lang w:val="ro-RO"/>
        </w:rPr>
      </w:pPr>
    </w:p>
    <w:p w:rsidR="00B809CB" w:rsidRPr="00D85193" w:rsidRDefault="00B809CB" w:rsidP="00B809CB">
      <w:pPr>
        <w:ind w:firstLine="840"/>
        <w:jc w:val="both"/>
        <w:rPr>
          <w:sz w:val="28"/>
          <w:szCs w:val="28"/>
          <w:lang w:val="ro-RO"/>
        </w:rPr>
      </w:pPr>
      <w:r w:rsidRPr="00D85193">
        <w:rPr>
          <w:sz w:val="28"/>
          <w:szCs w:val="28"/>
          <w:lang w:val="ro-RO"/>
        </w:rPr>
        <w:t>Persoanele încadrate pe cele 2</w:t>
      </w:r>
      <w:r>
        <w:rPr>
          <w:sz w:val="28"/>
          <w:szCs w:val="28"/>
          <w:lang w:val="ro-RO"/>
        </w:rPr>
        <w:t>8</w:t>
      </w:r>
      <w:r w:rsidRPr="00D85193">
        <w:rPr>
          <w:sz w:val="28"/>
          <w:szCs w:val="28"/>
          <w:lang w:val="ro-RO"/>
        </w:rPr>
        <w:t xml:space="preserve"> posturi ocupate cu personal statistic,                            la 31 decembrie 20</w:t>
      </w:r>
      <w:r>
        <w:rPr>
          <w:sz w:val="28"/>
          <w:szCs w:val="28"/>
          <w:lang w:val="ro-RO"/>
        </w:rPr>
        <w:t>21</w:t>
      </w:r>
      <w:r w:rsidRPr="00D85193">
        <w:rPr>
          <w:sz w:val="28"/>
          <w:szCs w:val="28"/>
          <w:lang w:val="ro-RO"/>
        </w:rPr>
        <w:t xml:space="preserve"> aveau următoarea structură pe grupe de vârstă, nivel de studii şi sexe:</w:t>
      </w:r>
    </w:p>
    <w:p w:rsidR="00B809CB" w:rsidRPr="00D85193" w:rsidRDefault="00B809CB" w:rsidP="00B809CB">
      <w:pPr>
        <w:ind w:firstLine="840"/>
        <w:jc w:val="both"/>
        <w:rPr>
          <w:sz w:val="28"/>
          <w:szCs w:val="28"/>
          <w:lang w:val="ro-RO"/>
        </w:rPr>
      </w:pPr>
    </w:p>
    <w:tbl>
      <w:tblPr>
        <w:tblW w:w="9464" w:type="dxa"/>
        <w:shd w:val="clear" w:color="auto" w:fill="CCFFCC"/>
        <w:tblLayout w:type="fixed"/>
        <w:tblLook w:val="01E0" w:firstRow="1" w:lastRow="1" w:firstColumn="1" w:lastColumn="1" w:noHBand="0" w:noVBand="0"/>
      </w:tblPr>
      <w:tblGrid>
        <w:gridCol w:w="2868"/>
        <w:gridCol w:w="1290"/>
        <w:gridCol w:w="1341"/>
        <w:gridCol w:w="1342"/>
        <w:gridCol w:w="1341"/>
        <w:gridCol w:w="1282"/>
      </w:tblGrid>
      <w:tr w:rsidR="00B809CB" w:rsidRPr="00D85193" w:rsidTr="00845630">
        <w:tc>
          <w:tcPr>
            <w:tcW w:w="2868" w:type="dxa"/>
            <w:vMerge w:val="restart"/>
            <w:tcBorders>
              <w:top w:val="double" w:sz="4" w:space="0" w:color="auto"/>
              <w:right w:val="double" w:sz="4" w:space="0" w:color="auto"/>
            </w:tcBorders>
            <w:shd w:val="clear" w:color="auto" w:fill="auto"/>
            <w:vAlign w:val="center"/>
          </w:tcPr>
          <w:p w:rsidR="00B809CB" w:rsidRPr="00D85193" w:rsidRDefault="00B809CB" w:rsidP="00845630">
            <w:pPr>
              <w:spacing w:line="360" w:lineRule="auto"/>
              <w:jc w:val="center"/>
              <w:rPr>
                <w:b/>
                <w:lang w:val="ro-RO"/>
              </w:rPr>
            </w:pPr>
            <w:r w:rsidRPr="00D85193">
              <w:rPr>
                <w:b/>
                <w:lang w:val="ro-RO"/>
              </w:rPr>
              <w:t>Grupe de vârstă (ani)</w:t>
            </w:r>
          </w:p>
        </w:tc>
        <w:tc>
          <w:tcPr>
            <w:tcW w:w="1290" w:type="dxa"/>
            <w:vMerge w:val="restart"/>
            <w:tcBorders>
              <w:top w:val="double" w:sz="4" w:space="0" w:color="auto"/>
              <w:left w:val="double" w:sz="4" w:space="0" w:color="auto"/>
            </w:tcBorders>
            <w:shd w:val="clear" w:color="auto" w:fill="auto"/>
            <w:vAlign w:val="center"/>
          </w:tcPr>
          <w:p w:rsidR="00B809CB" w:rsidRPr="00D85193" w:rsidRDefault="00B809CB" w:rsidP="00845630">
            <w:pPr>
              <w:spacing w:line="360" w:lineRule="auto"/>
              <w:jc w:val="center"/>
              <w:rPr>
                <w:b/>
                <w:lang w:val="ro-RO"/>
              </w:rPr>
            </w:pPr>
            <w:r w:rsidRPr="00D85193">
              <w:rPr>
                <w:b/>
                <w:lang w:val="ro-RO"/>
              </w:rPr>
              <w:t>Număr de posturi ocupate</w:t>
            </w:r>
          </w:p>
        </w:tc>
        <w:tc>
          <w:tcPr>
            <w:tcW w:w="2683" w:type="dxa"/>
            <w:gridSpan w:val="2"/>
            <w:tcBorders>
              <w:top w:val="double" w:sz="4" w:space="0" w:color="auto"/>
              <w:bottom w:val="single" w:sz="4" w:space="0" w:color="auto"/>
            </w:tcBorders>
            <w:shd w:val="clear" w:color="auto" w:fill="auto"/>
            <w:vAlign w:val="center"/>
          </w:tcPr>
          <w:p w:rsidR="00B809CB" w:rsidRPr="00D85193" w:rsidRDefault="00B809CB" w:rsidP="00845630">
            <w:pPr>
              <w:spacing w:line="360" w:lineRule="auto"/>
              <w:ind w:left="-113" w:right="-113"/>
              <w:jc w:val="center"/>
              <w:rPr>
                <w:b/>
                <w:lang w:val="ro-RO"/>
              </w:rPr>
            </w:pPr>
            <w:r w:rsidRPr="00D85193">
              <w:rPr>
                <w:b/>
                <w:lang w:val="ro-RO"/>
              </w:rPr>
              <w:t>Studii</w:t>
            </w:r>
          </w:p>
        </w:tc>
        <w:tc>
          <w:tcPr>
            <w:tcW w:w="2623" w:type="dxa"/>
            <w:gridSpan w:val="2"/>
            <w:tcBorders>
              <w:top w:val="double" w:sz="4" w:space="0" w:color="auto"/>
              <w:bottom w:val="single" w:sz="4" w:space="0" w:color="auto"/>
            </w:tcBorders>
            <w:shd w:val="clear" w:color="auto" w:fill="auto"/>
            <w:vAlign w:val="center"/>
          </w:tcPr>
          <w:p w:rsidR="00B809CB" w:rsidRPr="00D85193" w:rsidRDefault="00B809CB" w:rsidP="00845630">
            <w:pPr>
              <w:spacing w:line="360" w:lineRule="auto"/>
              <w:ind w:left="-113" w:right="-113"/>
              <w:jc w:val="center"/>
              <w:rPr>
                <w:b/>
                <w:lang w:val="ro-RO"/>
              </w:rPr>
            </w:pPr>
            <w:r w:rsidRPr="00D85193">
              <w:rPr>
                <w:b/>
                <w:lang w:val="ro-RO"/>
              </w:rPr>
              <w:t>Sex</w:t>
            </w:r>
          </w:p>
        </w:tc>
      </w:tr>
      <w:tr w:rsidR="00B809CB" w:rsidRPr="00D85193" w:rsidTr="00845630">
        <w:trPr>
          <w:trHeight w:val="682"/>
        </w:trPr>
        <w:tc>
          <w:tcPr>
            <w:tcW w:w="2868" w:type="dxa"/>
            <w:vMerge/>
            <w:tcBorders>
              <w:bottom w:val="double" w:sz="4" w:space="0" w:color="auto"/>
              <w:right w:val="double" w:sz="4" w:space="0" w:color="auto"/>
            </w:tcBorders>
            <w:shd w:val="clear" w:color="auto" w:fill="auto"/>
            <w:vAlign w:val="center"/>
          </w:tcPr>
          <w:p w:rsidR="00B809CB" w:rsidRPr="00D85193" w:rsidRDefault="00B809CB" w:rsidP="00845630">
            <w:pPr>
              <w:spacing w:line="360" w:lineRule="auto"/>
              <w:jc w:val="center"/>
              <w:rPr>
                <w:b/>
                <w:lang w:val="ro-RO"/>
              </w:rPr>
            </w:pPr>
          </w:p>
        </w:tc>
        <w:tc>
          <w:tcPr>
            <w:tcW w:w="1290" w:type="dxa"/>
            <w:vMerge/>
            <w:tcBorders>
              <w:left w:val="double" w:sz="4" w:space="0" w:color="auto"/>
              <w:bottom w:val="double" w:sz="4" w:space="0" w:color="auto"/>
            </w:tcBorders>
            <w:shd w:val="clear" w:color="auto" w:fill="auto"/>
            <w:vAlign w:val="center"/>
          </w:tcPr>
          <w:p w:rsidR="00B809CB" w:rsidRPr="00D85193" w:rsidRDefault="00B809CB" w:rsidP="00845630">
            <w:pPr>
              <w:spacing w:line="360" w:lineRule="auto"/>
              <w:jc w:val="center"/>
              <w:rPr>
                <w:b/>
                <w:lang w:val="ro-RO"/>
              </w:rPr>
            </w:pPr>
          </w:p>
        </w:tc>
        <w:tc>
          <w:tcPr>
            <w:tcW w:w="1341" w:type="dxa"/>
            <w:tcBorders>
              <w:top w:val="single" w:sz="4" w:space="0" w:color="auto"/>
              <w:bottom w:val="double" w:sz="4" w:space="0" w:color="auto"/>
            </w:tcBorders>
            <w:shd w:val="clear" w:color="auto" w:fill="auto"/>
            <w:vAlign w:val="center"/>
          </w:tcPr>
          <w:p w:rsidR="00B809CB" w:rsidRPr="00D85193" w:rsidRDefault="00B809CB" w:rsidP="00845630">
            <w:pPr>
              <w:spacing w:line="360" w:lineRule="auto"/>
              <w:ind w:left="-113" w:right="-113"/>
              <w:jc w:val="center"/>
              <w:rPr>
                <w:b/>
                <w:lang w:val="ro-RO"/>
              </w:rPr>
            </w:pPr>
            <w:r w:rsidRPr="00D85193">
              <w:rPr>
                <w:b/>
                <w:lang w:val="ro-RO"/>
              </w:rPr>
              <w:t>Superioare</w:t>
            </w:r>
          </w:p>
        </w:tc>
        <w:tc>
          <w:tcPr>
            <w:tcW w:w="1342" w:type="dxa"/>
            <w:tcBorders>
              <w:top w:val="single" w:sz="4" w:space="0" w:color="auto"/>
              <w:bottom w:val="double" w:sz="4" w:space="0" w:color="auto"/>
            </w:tcBorders>
            <w:shd w:val="clear" w:color="auto" w:fill="auto"/>
            <w:vAlign w:val="center"/>
          </w:tcPr>
          <w:p w:rsidR="00B809CB" w:rsidRPr="00D85193" w:rsidRDefault="00B809CB" w:rsidP="00845630">
            <w:pPr>
              <w:spacing w:line="360" w:lineRule="auto"/>
              <w:ind w:left="-113" w:right="-113"/>
              <w:jc w:val="center"/>
              <w:rPr>
                <w:b/>
                <w:lang w:val="ro-RO"/>
              </w:rPr>
            </w:pPr>
            <w:r w:rsidRPr="00D85193">
              <w:rPr>
                <w:b/>
                <w:lang w:val="ro-RO"/>
              </w:rPr>
              <w:t>Medii</w:t>
            </w:r>
          </w:p>
        </w:tc>
        <w:tc>
          <w:tcPr>
            <w:tcW w:w="1341" w:type="dxa"/>
            <w:tcBorders>
              <w:top w:val="single" w:sz="4" w:space="0" w:color="auto"/>
              <w:bottom w:val="double" w:sz="4" w:space="0" w:color="auto"/>
            </w:tcBorders>
            <w:shd w:val="clear" w:color="auto" w:fill="auto"/>
            <w:vAlign w:val="center"/>
          </w:tcPr>
          <w:p w:rsidR="00B809CB" w:rsidRPr="00D85193" w:rsidRDefault="00B809CB" w:rsidP="00845630">
            <w:pPr>
              <w:spacing w:line="360" w:lineRule="auto"/>
              <w:ind w:left="-113" w:right="-113"/>
              <w:jc w:val="center"/>
              <w:rPr>
                <w:b/>
                <w:lang w:val="ro-RO"/>
              </w:rPr>
            </w:pPr>
            <w:r w:rsidRPr="00D85193">
              <w:rPr>
                <w:b/>
                <w:lang w:val="ro-RO"/>
              </w:rPr>
              <w:t>Masculin</w:t>
            </w:r>
          </w:p>
        </w:tc>
        <w:tc>
          <w:tcPr>
            <w:tcW w:w="1282" w:type="dxa"/>
            <w:tcBorders>
              <w:top w:val="single" w:sz="4" w:space="0" w:color="auto"/>
              <w:bottom w:val="double" w:sz="4" w:space="0" w:color="auto"/>
            </w:tcBorders>
            <w:shd w:val="clear" w:color="auto" w:fill="auto"/>
            <w:vAlign w:val="center"/>
          </w:tcPr>
          <w:p w:rsidR="00B809CB" w:rsidRPr="00D85193" w:rsidRDefault="00B809CB" w:rsidP="00845630">
            <w:pPr>
              <w:spacing w:line="360" w:lineRule="auto"/>
              <w:ind w:left="-113" w:right="-113"/>
              <w:jc w:val="center"/>
              <w:rPr>
                <w:b/>
                <w:lang w:val="ro-RO"/>
              </w:rPr>
            </w:pPr>
            <w:r w:rsidRPr="00D85193">
              <w:rPr>
                <w:b/>
                <w:lang w:val="ro-RO"/>
              </w:rPr>
              <w:t>Feminin</w:t>
            </w:r>
          </w:p>
        </w:tc>
      </w:tr>
      <w:tr w:rsidR="00B809CB" w:rsidRPr="00D85193" w:rsidTr="00845630">
        <w:trPr>
          <w:trHeight w:val="397"/>
        </w:trPr>
        <w:tc>
          <w:tcPr>
            <w:tcW w:w="2868" w:type="dxa"/>
            <w:tcBorders>
              <w:top w:val="double" w:sz="4" w:space="0" w:color="auto"/>
              <w:right w:val="double" w:sz="4" w:space="0" w:color="auto"/>
            </w:tcBorders>
            <w:shd w:val="clear" w:color="auto" w:fill="auto"/>
            <w:vAlign w:val="center"/>
          </w:tcPr>
          <w:p w:rsidR="00B809CB" w:rsidRPr="00D85193" w:rsidRDefault="00B809CB" w:rsidP="00845630">
            <w:pPr>
              <w:jc w:val="center"/>
              <w:rPr>
                <w:lang w:val="ro-RO"/>
              </w:rPr>
            </w:pPr>
            <w:r w:rsidRPr="00D85193">
              <w:rPr>
                <w:lang w:val="ro-RO"/>
              </w:rPr>
              <w:t>sub 30</w:t>
            </w:r>
          </w:p>
        </w:tc>
        <w:tc>
          <w:tcPr>
            <w:tcW w:w="1290" w:type="dxa"/>
            <w:tcBorders>
              <w:top w:val="double" w:sz="4" w:space="0" w:color="auto"/>
              <w:left w:val="double" w:sz="4" w:space="0" w:color="auto"/>
            </w:tcBorders>
            <w:shd w:val="clear" w:color="auto" w:fill="auto"/>
            <w:vAlign w:val="center"/>
          </w:tcPr>
          <w:p w:rsidR="00B809CB" w:rsidRPr="00D85193" w:rsidRDefault="00B809CB" w:rsidP="00845630">
            <w:pPr>
              <w:tabs>
                <w:tab w:val="left" w:pos="612"/>
              </w:tabs>
              <w:ind w:right="397"/>
              <w:jc w:val="right"/>
              <w:rPr>
                <w:lang w:val="ro-RO"/>
              </w:rPr>
            </w:pPr>
            <w:r w:rsidRPr="00D85193">
              <w:rPr>
                <w:lang w:val="ro-RO"/>
              </w:rPr>
              <w:t>-</w:t>
            </w:r>
          </w:p>
        </w:tc>
        <w:tc>
          <w:tcPr>
            <w:tcW w:w="1341" w:type="dxa"/>
            <w:tcBorders>
              <w:top w:val="double" w:sz="4" w:space="0" w:color="auto"/>
            </w:tcBorders>
            <w:shd w:val="clear" w:color="auto" w:fill="auto"/>
            <w:vAlign w:val="center"/>
          </w:tcPr>
          <w:p w:rsidR="00B809CB" w:rsidRPr="00D85193" w:rsidRDefault="00B809CB" w:rsidP="00845630">
            <w:pPr>
              <w:tabs>
                <w:tab w:val="left" w:pos="612"/>
              </w:tabs>
              <w:ind w:right="397"/>
              <w:jc w:val="right"/>
              <w:rPr>
                <w:lang w:val="ro-RO"/>
              </w:rPr>
            </w:pPr>
            <w:r w:rsidRPr="00D85193">
              <w:rPr>
                <w:lang w:val="ro-RO"/>
              </w:rPr>
              <w:t>-</w:t>
            </w:r>
          </w:p>
        </w:tc>
        <w:tc>
          <w:tcPr>
            <w:tcW w:w="1342" w:type="dxa"/>
            <w:tcBorders>
              <w:top w:val="double" w:sz="4" w:space="0" w:color="auto"/>
            </w:tcBorders>
            <w:shd w:val="clear" w:color="auto" w:fill="auto"/>
            <w:vAlign w:val="center"/>
          </w:tcPr>
          <w:p w:rsidR="00B809CB" w:rsidRPr="00D85193" w:rsidRDefault="00B809CB" w:rsidP="00845630">
            <w:pPr>
              <w:tabs>
                <w:tab w:val="left" w:pos="612"/>
              </w:tabs>
              <w:ind w:right="397"/>
              <w:jc w:val="right"/>
              <w:rPr>
                <w:lang w:val="ro-RO"/>
              </w:rPr>
            </w:pPr>
            <w:r w:rsidRPr="00D85193">
              <w:rPr>
                <w:lang w:val="ro-RO"/>
              </w:rPr>
              <w:t>-</w:t>
            </w:r>
          </w:p>
        </w:tc>
        <w:tc>
          <w:tcPr>
            <w:tcW w:w="1341" w:type="dxa"/>
            <w:tcBorders>
              <w:top w:val="double" w:sz="4" w:space="0" w:color="auto"/>
            </w:tcBorders>
            <w:shd w:val="clear" w:color="auto" w:fill="auto"/>
            <w:vAlign w:val="center"/>
          </w:tcPr>
          <w:p w:rsidR="00B809CB" w:rsidRPr="00D85193" w:rsidRDefault="00B809CB" w:rsidP="00845630">
            <w:pPr>
              <w:tabs>
                <w:tab w:val="left" w:pos="612"/>
              </w:tabs>
              <w:ind w:right="397"/>
              <w:jc w:val="right"/>
              <w:rPr>
                <w:lang w:val="ro-RO"/>
              </w:rPr>
            </w:pPr>
            <w:r w:rsidRPr="00D85193">
              <w:rPr>
                <w:lang w:val="ro-RO"/>
              </w:rPr>
              <w:t>-</w:t>
            </w:r>
          </w:p>
        </w:tc>
        <w:tc>
          <w:tcPr>
            <w:tcW w:w="1282" w:type="dxa"/>
            <w:tcBorders>
              <w:top w:val="double" w:sz="4" w:space="0" w:color="auto"/>
            </w:tcBorders>
            <w:shd w:val="clear" w:color="auto" w:fill="auto"/>
            <w:vAlign w:val="center"/>
          </w:tcPr>
          <w:p w:rsidR="00B809CB" w:rsidRPr="00D85193" w:rsidRDefault="00B809CB" w:rsidP="00845630">
            <w:pPr>
              <w:tabs>
                <w:tab w:val="left" w:pos="612"/>
              </w:tabs>
              <w:ind w:right="397"/>
              <w:jc w:val="right"/>
              <w:rPr>
                <w:lang w:val="ro-RO"/>
              </w:rPr>
            </w:pPr>
            <w:r w:rsidRPr="00D85193">
              <w:rPr>
                <w:lang w:val="ro-RO"/>
              </w:rPr>
              <w:t>-</w:t>
            </w:r>
          </w:p>
        </w:tc>
      </w:tr>
      <w:tr w:rsidR="00B809CB" w:rsidRPr="00D85193" w:rsidTr="00845630">
        <w:trPr>
          <w:trHeight w:val="397"/>
        </w:trPr>
        <w:tc>
          <w:tcPr>
            <w:tcW w:w="2868" w:type="dxa"/>
            <w:tcBorders>
              <w:right w:val="double" w:sz="4" w:space="0" w:color="auto"/>
            </w:tcBorders>
            <w:shd w:val="clear" w:color="auto" w:fill="auto"/>
            <w:vAlign w:val="center"/>
          </w:tcPr>
          <w:p w:rsidR="00B809CB" w:rsidRPr="00D85193" w:rsidRDefault="00B809CB" w:rsidP="00845630">
            <w:pPr>
              <w:jc w:val="center"/>
              <w:rPr>
                <w:lang w:val="ro-RO"/>
              </w:rPr>
            </w:pPr>
            <w:r w:rsidRPr="00D85193">
              <w:rPr>
                <w:lang w:val="ro-RO"/>
              </w:rPr>
              <w:t>30-34</w:t>
            </w:r>
          </w:p>
        </w:tc>
        <w:tc>
          <w:tcPr>
            <w:tcW w:w="1290" w:type="dxa"/>
            <w:tcBorders>
              <w:left w:val="double" w:sz="4" w:space="0" w:color="auto"/>
            </w:tcBorders>
            <w:shd w:val="clear" w:color="auto" w:fill="auto"/>
            <w:vAlign w:val="center"/>
          </w:tcPr>
          <w:p w:rsidR="00B809CB" w:rsidRPr="00D85193" w:rsidRDefault="00B809CB" w:rsidP="00845630">
            <w:pPr>
              <w:tabs>
                <w:tab w:val="left" w:pos="612"/>
              </w:tabs>
              <w:ind w:right="397"/>
              <w:jc w:val="right"/>
              <w:rPr>
                <w:lang w:val="ro-RO"/>
              </w:rPr>
            </w:pPr>
            <w:r w:rsidRPr="00D85193">
              <w:rPr>
                <w:lang w:val="ro-RO"/>
              </w:rPr>
              <w:t>1</w:t>
            </w:r>
          </w:p>
        </w:tc>
        <w:tc>
          <w:tcPr>
            <w:tcW w:w="1341" w:type="dxa"/>
            <w:shd w:val="clear" w:color="auto" w:fill="auto"/>
            <w:vAlign w:val="center"/>
          </w:tcPr>
          <w:p w:rsidR="00B809CB" w:rsidRPr="00D85193" w:rsidRDefault="00B809CB" w:rsidP="00845630">
            <w:pPr>
              <w:tabs>
                <w:tab w:val="left" w:pos="612"/>
              </w:tabs>
              <w:ind w:right="397"/>
              <w:jc w:val="right"/>
              <w:rPr>
                <w:lang w:val="ro-RO"/>
              </w:rPr>
            </w:pPr>
            <w:r w:rsidRPr="00D85193">
              <w:rPr>
                <w:lang w:val="ro-RO"/>
              </w:rPr>
              <w:t>1</w:t>
            </w:r>
          </w:p>
        </w:tc>
        <w:tc>
          <w:tcPr>
            <w:tcW w:w="1342" w:type="dxa"/>
            <w:shd w:val="clear" w:color="auto" w:fill="auto"/>
            <w:vAlign w:val="center"/>
          </w:tcPr>
          <w:p w:rsidR="00B809CB" w:rsidRPr="00D85193" w:rsidRDefault="00B809CB" w:rsidP="00845630">
            <w:pPr>
              <w:tabs>
                <w:tab w:val="left" w:pos="612"/>
              </w:tabs>
              <w:ind w:right="397"/>
              <w:jc w:val="right"/>
              <w:rPr>
                <w:lang w:val="ro-RO"/>
              </w:rPr>
            </w:pPr>
            <w:r w:rsidRPr="00D85193">
              <w:rPr>
                <w:lang w:val="ro-RO"/>
              </w:rPr>
              <w:t>-</w:t>
            </w:r>
          </w:p>
        </w:tc>
        <w:tc>
          <w:tcPr>
            <w:tcW w:w="1341" w:type="dxa"/>
            <w:shd w:val="clear" w:color="auto" w:fill="auto"/>
            <w:vAlign w:val="center"/>
          </w:tcPr>
          <w:p w:rsidR="00B809CB" w:rsidRPr="00D85193" w:rsidRDefault="00B809CB" w:rsidP="00845630">
            <w:pPr>
              <w:tabs>
                <w:tab w:val="left" w:pos="612"/>
              </w:tabs>
              <w:ind w:right="397"/>
              <w:jc w:val="right"/>
              <w:rPr>
                <w:lang w:val="ro-RO"/>
              </w:rPr>
            </w:pPr>
            <w:r w:rsidRPr="00D85193">
              <w:rPr>
                <w:lang w:val="ro-RO"/>
              </w:rPr>
              <w:t>-</w:t>
            </w:r>
          </w:p>
        </w:tc>
        <w:tc>
          <w:tcPr>
            <w:tcW w:w="1282" w:type="dxa"/>
            <w:shd w:val="clear" w:color="auto" w:fill="auto"/>
            <w:vAlign w:val="center"/>
          </w:tcPr>
          <w:p w:rsidR="00B809CB" w:rsidRPr="00D85193" w:rsidRDefault="00B809CB" w:rsidP="00845630">
            <w:pPr>
              <w:tabs>
                <w:tab w:val="left" w:pos="612"/>
              </w:tabs>
              <w:ind w:right="397"/>
              <w:jc w:val="right"/>
              <w:rPr>
                <w:lang w:val="ro-RO"/>
              </w:rPr>
            </w:pPr>
            <w:r w:rsidRPr="00D85193">
              <w:rPr>
                <w:lang w:val="ro-RO"/>
              </w:rPr>
              <w:t>1</w:t>
            </w:r>
          </w:p>
        </w:tc>
      </w:tr>
      <w:tr w:rsidR="00B809CB" w:rsidRPr="00D85193" w:rsidTr="00845630">
        <w:trPr>
          <w:trHeight w:val="397"/>
        </w:trPr>
        <w:tc>
          <w:tcPr>
            <w:tcW w:w="2868" w:type="dxa"/>
            <w:tcBorders>
              <w:right w:val="double" w:sz="4" w:space="0" w:color="auto"/>
            </w:tcBorders>
            <w:shd w:val="clear" w:color="auto" w:fill="auto"/>
            <w:vAlign w:val="center"/>
          </w:tcPr>
          <w:p w:rsidR="00B809CB" w:rsidRPr="00D85193" w:rsidRDefault="00B809CB" w:rsidP="00845630">
            <w:pPr>
              <w:jc w:val="center"/>
              <w:rPr>
                <w:lang w:val="ro-RO"/>
              </w:rPr>
            </w:pPr>
            <w:r w:rsidRPr="00D85193">
              <w:rPr>
                <w:lang w:val="ro-RO"/>
              </w:rPr>
              <w:t>35-39</w:t>
            </w:r>
          </w:p>
        </w:tc>
        <w:tc>
          <w:tcPr>
            <w:tcW w:w="1290" w:type="dxa"/>
            <w:tcBorders>
              <w:left w:val="double" w:sz="4" w:space="0" w:color="auto"/>
            </w:tcBorders>
            <w:shd w:val="clear" w:color="auto" w:fill="auto"/>
            <w:vAlign w:val="center"/>
          </w:tcPr>
          <w:p w:rsidR="00B809CB" w:rsidRPr="00D85193" w:rsidRDefault="00B809CB" w:rsidP="00845630">
            <w:pPr>
              <w:tabs>
                <w:tab w:val="left" w:pos="612"/>
              </w:tabs>
              <w:ind w:right="397"/>
              <w:jc w:val="right"/>
              <w:rPr>
                <w:lang w:val="ro-RO"/>
              </w:rPr>
            </w:pPr>
            <w:r>
              <w:rPr>
                <w:lang w:val="ro-RO"/>
              </w:rPr>
              <w:t>-</w:t>
            </w:r>
          </w:p>
        </w:tc>
        <w:tc>
          <w:tcPr>
            <w:tcW w:w="1341" w:type="dxa"/>
            <w:shd w:val="clear" w:color="auto" w:fill="auto"/>
            <w:vAlign w:val="center"/>
          </w:tcPr>
          <w:p w:rsidR="00B809CB" w:rsidRPr="00D85193" w:rsidRDefault="00B809CB" w:rsidP="00845630">
            <w:pPr>
              <w:tabs>
                <w:tab w:val="left" w:pos="612"/>
              </w:tabs>
              <w:ind w:right="397"/>
              <w:jc w:val="right"/>
              <w:rPr>
                <w:lang w:val="ro-RO"/>
              </w:rPr>
            </w:pPr>
            <w:r>
              <w:rPr>
                <w:lang w:val="ro-RO"/>
              </w:rPr>
              <w:t>-</w:t>
            </w:r>
          </w:p>
        </w:tc>
        <w:tc>
          <w:tcPr>
            <w:tcW w:w="1342" w:type="dxa"/>
            <w:shd w:val="clear" w:color="auto" w:fill="auto"/>
            <w:vAlign w:val="center"/>
          </w:tcPr>
          <w:p w:rsidR="00B809CB" w:rsidRPr="00D85193" w:rsidRDefault="00B809CB" w:rsidP="00845630">
            <w:pPr>
              <w:tabs>
                <w:tab w:val="left" w:pos="612"/>
              </w:tabs>
              <w:ind w:right="397"/>
              <w:jc w:val="right"/>
              <w:rPr>
                <w:lang w:val="ro-RO"/>
              </w:rPr>
            </w:pPr>
            <w:r w:rsidRPr="00D85193">
              <w:rPr>
                <w:lang w:val="ro-RO"/>
              </w:rPr>
              <w:t>-</w:t>
            </w:r>
          </w:p>
        </w:tc>
        <w:tc>
          <w:tcPr>
            <w:tcW w:w="1341" w:type="dxa"/>
            <w:shd w:val="clear" w:color="auto" w:fill="auto"/>
            <w:vAlign w:val="center"/>
          </w:tcPr>
          <w:p w:rsidR="00B809CB" w:rsidRPr="00D85193" w:rsidRDefault="00B809CB" w:rsidP="00845630">
            <w:pPr>
              <w:tabs>
                <w:tab w:val="left" w:pos="612"/>
              </w:tabs>
              <w:ind w:right="397"/>
              <w:jc w:val="right"/>
              <w:rPr>
                <w:lang w:val="ro-RO"/>
              </w:rPr>
            </w:pPr>
            <w:r w:rsidRPr="00D85193">
              <w:rPr>
                <w:lang w:val="ro-RO"/>
              </w:rPr>
              <w:t>-</w:t>
            </w:r>
          </w:p>
        </w:tc>
        <w:tc>
          <w:tcPr>
            <w:tcW w:w="1282" w:type="dxa"/>
            <w:shd w:val="clear" w:color="auto" w:fill="auto"/>
            <w:vAlign w:val="center"/>
          </w:tcPr>
          <w:p w:rsidR="00B809CB" w:rsidRPr="00D85193" w:rsidRDefault="00B809CB" w:rsidP="00845630">
            <w:pPr>
              <w:tabs>
                <w:tab w:val="left" w:pos="612"/>
              </w:tabs>
              <w:ind w:right="397"/>
              <w:jc w:val="right"/>
              <w:rPr>
                <w:lang w:val="ro-RO"/>
              </w:rPr>
            </w:pPr>
            <w:r>
              <w:rPr>
                <w:lang w:val="ro-RO"/>
              </w:rPr>
              <w:t>-</w:t>
            </w:r>
          </w:p>
        </w:tc>
      </w:tr>
      <w:tr w:rsidR="00B809CB" w:rsidRPr="00D85193" w:rsidTr="00845630">
        <w:trPr>
          <w:trHeight w:val="397"/>
        </w:trPr>
        <w:tc>
          <w:tcPr>
            <w:tcW w:w="2868" w:type="dxa"/>
            <w:tcBorders>
              <w:right w:val="double" w:sz="4" w:space="0" w:color="auto"/>
            </w:tcBorders>
            <w:shd w:val="clear" w:color="auto" w:fill="auto"/>
            <w:vAlign w:val="center"/>
          </w:tcPr>
          <w:p w:rsidR="00B809CB" w:rsidRPr="00D85193" w:rsidRDefault="00B809CB" w:rsidP="00845630">
            <w:pPr>
              <w:jc w:val="center"/>
              <w:rPr>
                <w:lang w:val="ro-RO"/>
              </w:rPr>
            </w:pPr>
            <w:r w:rsidRPr="00D85193">
              <w:rPr>
                <w:lang w:val="ro-RO"/>
              </w:rPr>
              <w:t>40-44</w:t>
            </w:r>
          </w:p>
        </w:tc>
        <w:tc>
          <w:tcPr>
            <w:tcW w:w="1290" w:type="dxa"/>
            <w:tcBorders>
              <w:left w:val="double" w:sz="4" w:space="0" w:color="auto"/>
            </w:tcBorders>
            <w:shd w:val="clear" w:color="auto" w:fill="auto"/>
            <w:vAlign w:val="center"/>
          </w:tcPr>
          <w:p w:rsidR="00B809CB" w:rsidRPr="00D85193" w:rsidRDefault="00B809CB" w:rsidP="00845630">
            <w:pPr>
              <w:tabs>
                <w:tab w:val="left" w:pos="612"/>
              </w:tabs>
              <w:ind w:right="397"/>
              <w:jc w:val="right"/>
              <w:rPr>
                <w:lang w:val="ro-RO"/>
              </w:rPr>
            </w:pPr>
            <w:r>
              <w:rPr>
                <w:lang w:val="ro-RO"/>
              </w:rPr>
              <w:t>7</w:t>
            </w:r>
          </w:p>
        </w:tc>
        <w:tc>
          <w:tcPr>
            <w:tcW w:w="1341" w:type="dxa"/>
            <w:shd w:val="clear" w:color="auto" w:fill="auto"/>
            <w:vAlign w:val="center"/>
          </w:tcPr>
          <w:p w:rsidR="00B809CB" w:rsidRPr="00D85193" w:rsidRDefault="00B809CB" w:rsidP="00845630">
            <w:pPr>
              <w:tabs>
                <w:tab w:val="left" w:pos="612"/>
              </w:tabs>
              <w:ind w:right="397"/>
              <w:jc w:val="right"/>
              <w:rPr>
                <w:lang w:val="ro-RO"/>
              </w:rPr>
            </w:pPr>
            <w:r>
              <w:rPr>
                <w:lang w:val="ro-RO"/>
              </w:rPr>
              <w:t>7</w:t>
            </w:r>
          </w:p>
        </w:tc>
        <w:tc>
          <w:tcPr>
            <w:tcW w:w="1342" w:type="dxa"/>
            <w:shd w:val="clear" w:color="auto" w:fill="auto"/>
            <w:vAlign w:val="center"/>
          </w:tcPr>
          <w:p w:rsidR="00B809CB" w:rsidRPr="00D85193" w:rsidRDefault="00B809CB" w:rsidP="00845630">
            <w:pPr>
              <w:tabs>
                <w:tab w:val="left" w:pos="612"/>
              </w:tabs>
              <w:ind w:right="397"/>
              <w:jc w:val="right"/>
              <w:rPr>
                <w:lang w:val="ro-RO"/>
              </w:rPr>
            </w:pPr>
            <w:r w:rsidRPr="00D85193">
              <w:rPr>
                <w:lang w:val="ro-RO"/>
              </w:rPr>
              <w:t>-</w:t>
            </w:r>
          </w:p>
        </w:tc>
        <w:tc>
          <w:tcPr>
            <w:tcW w:w="1341" w:type="dxa"/>
            <w:shd w:val="clear" w:color="auto" w:fill="auto"/>
            <w:vAlign w:val="center"/>
          </w:tcPr>
          <w:p w:rsidR="00B809CB" w:rsidRPr="00D85193" w:rsidRDefault="00B809CB" w:rsidP="00845630">
            <w:pPr>
              <w:tabs>
                <w:tab w:val="left" w:pos="612"/>
              </w:tabs>
              <w:ind w:right="397"/>
              <w:jc w:val="right"/>
              <w:rPr>
                <w:lang w:val="ro-RO"/>
              </w:rPr>
            </w:pPr>
            <w:r>
              <w:rPr>
                <w:lang w:val="ro-RO"/>
              </w:rPr>
              <w:t>3</w:t>
            </w:r>
          </w:p>
        </w:tc>
        <w:tc>
          <w:tcPr>
            <w:tcW w:w="1282" w:type="dxa"/>
            <w:shd w:val="clear" w:color="auto" w:fill="auto"/>
            <w:vAlign w:val="center"/>
          </w:tcPr>
          <w:p w:rsidR="00B809CB" w:rsidRPr="00D85193" w:rsidRDefault="00B809CB" w:rsidP="00845630">
            <w:pPr>
              <w:tabs>
                <w:tab w:val="left" w:pos="612"/>
              </w:tabs>
              <w:ind w:right="397"/>
              <w:jc w:val="right"/>
              <w:rPr>
                <w:lang w:val="ro-RO"/>
              </w:rPr>
            </w:pPr>
            <w:r>
              <w:rPr>
                <w:lang w:val="ro-RO"/>
              </w:rPr>
              <w:t>4</w:t>
            </w:r>
          </w:p>
        </w:tc>
      </w:tr>
      <w:tr w:rsidR="00B809CB" w:rsidRPr="00D85193" w:rsidTr="00845630">
        <w:trPr>
          <w:trHeight w:val="397"/>
        </w:trPr>
        <w:tc>
          <w:tcPr>
            <w:tcW w:w="2868" w:type="dxa"/>
            <w:tcBorders>
              <w:right w:val="double" w:sz="4" w:space="0" w:color="auto"/>
            </w:tcBorders>
            <w:shd w:val="clear" w:color="auto" w:fill="auto"/>
            <w:vAlign w:val="center"/>
          </w:tcPr>
          <w:p w:rsidR="00B809CB" w:rsidRPr="00D85193" w:rsidRDefault="00B809CB" w:rsidP="00845630">
            <w:pPr>
              <w:jc w:val="center"/>
              <w:rPr>
                <w:lang w:val="ro-RO"/>
              </w:rPr>
            </w:pPr>
            <w:r w:rsidRPr="00D85193">
              <w:rPr>
                <w:lang w:val="ro-RO"/>
              </w:rPr>
              <w:t>45-49</w:t>
            </w:r>
          </w:p>
        </w:tc>
        <w:tc>
          <w:tcPr>
            <w:tcW w:w="1290" w:type="dxa"/>
            <w:tcBorders>
              <w:left w:val="double" w:sz="4" w:space="0" w:color="auto"/>
            </w:tcBorders>
            <w:shd w:val="clear" w:color="auto" w:fill="auto"/>
            <w:vAlign w:val="center"/>
          </w:tcPr>
          <w:p w:rsidR="00B809CB" w:rsidRPr="00D85193" w:rsidRDefault="00B809CB" w:rsidP="00845630">
            <w:pPr>
              <w:tabs>
                <w:tab w:val="left" w:pos="612"/>
              </w:tabs>
              <w:ind w:right="397"/>
              <w:jc w:val="right"/>
              <w:rPr>
                <w:lang w:val="ro-RO"/>
              </w:rPr>
            </w:pPr>
            <w:r>
              <w:rPr>
                <w:lang w:val="ro-RO"/>
              </w:rPr>
              <w:t>12</w:t>
            </w:r>
          </w:p>
        </w:tc>
        <w:tc>
          <w:tcPr>
            <w:tcW w:w="1341" w:type="dxa"/>
            <w:shd w:val="clear" w:color="auto" w:fill="auto"/>
            <w:vAlign w:val="center"/>
          </w:tcPr>
          <w:p w:rsidR="00B809CB" w:rsidRPr="00D85193" w:rsidRDefault="00B809CB" w:rsidP="00845630">
            <w:pPr>
              <w:tabs>
                <w:tab w:val="left" w:pos="612"/>
              </w:tabs>
              <w:ind w:right="397"/>
              <w:jc w:val="right"/>
              <w:rPr>
                <w:lang w:val="ro-RO"/>
              </w:rPr>
            </w:pPr>
            <w:r>
              <w:rPr>
                <w:lang w:val="ro-RO"/>
              </w:rPr>
              <w:t>12</w:t>
            </w:r>
          </w:p>
        </w:tc>
        <w:tc>
          <w:tcPr>
            <w:tcW w:w="1342" w:type="dxa"/>
            <w:shd w:val="clear" w:color="auto" w:fill="auto"/>
            <w:vAlign w:val="center"/>
          </w:tcPr>
          <w:p w:rsidR="00B809CB" w:rsidRPr="00D85193" w:rsidRDefault="00B809CB" w:rsidP="00845630">
            <w:pPr>
              <w:tabs>
                <w:tab w:val="left" w:pos="612"/>
              </w:tabs>
              <w:ind w:right="397"/>
              <w:jc w:val="right"/>
              <w:rPr>
                <w:lang w:val="ro-RO"/>
              </w:rPr>
            </w:pPr>
            <w:r w:rsidRPr="00D85193">
              <w:rPr>
                <w:lang w:val="ro-RO"/>
              </w:rPr>
              <w:t>-</w:t>
            </w:r>
          </w:p>
        </w:tc>
        <w:tc>
          <w:tcPr>
            <w:tcW w:w="1341" w:type="dxa"/>
            <w:shd w:val="clear" w:color="auto" w:fill="auto"/>
            <w:vAlign w:val="center"/>
          </w:tcPr>
          <w:p w:rsidR="00B809CB" w:rsidRPr="00D85193" w:rsidRDefault="00B809CB" w:rsidP="00845630">
            <w:pPr>
              <w:tabs>
                <w:tab w:val="left" w:pos="612"/>
              </w:tabs>
              <w:ind w:right="397"/>
              <w:jc w:val="right"/>
              <w:rPr>
                <w:lang w:val="ro-RO"/>
              </w:rPr>
            </w:pPr>
            <w:r>
              <w:rPr>
                <w:lang w:val="ro-RO"/>
              </w:rPr>
              <w:t>3</w:t>
            </w:r>
          </w:p>
        </w:tc>
        <w:tc>
          <w:tcPr>
            <w:tcW w:w="1282" w:type="dxa"/>
            <w:shd w:val="clear" w:color="auto" w:fill="auto"/>
            <w:vAlign w:val="center"/>
          </w:tcPr>
          <w:p w:rsidR="00B809CB" w:rsidRPr="00D85193" w:rsidRDefault="00B809CB" w:rsidP="00845630">
            <w:pPr>
              <w:tabs>
                <w:tab w:val="left" w:pos="612"/>
              </w:tabs>
              <w:ind w:right="397"/>
              <w:jc w:val="right"/>
              <w:rPr>
                <w:lang w:val="ro-RO"/>
              </w:rPr>
            </w:pPr>
            <w:r>
              <w:rPr>
                <w:lang w:val="ro-RO"/>
              </w:rPr>
              <w:t>9</w:t>
            </w:r>
          </w:p>
        </w:tc>
      </w:tr>
      <w:tr w:rsidR="00B809CB" w:rsidRPr="00D85193" w:rsidTr="00845630">
        <w:trPr>
          <w:trHeight w:val="397"/>
        </w:trPr>
        <w:tc>
          <w:tcPr>
            <w:tcW w:w="2868" w:type="dxa"/>
            <w:tcBorders>
              <w:right w:val="double" w:sz="4" w:space="0" w:color="auto"/>
            </w:tcBorders>
            <w:shd w:val="clear" w:color="auto" w:fill="auto"/>
            <w:vAlign w:val="center"/>
          </w:tcPr>
          <w:p w:rsidR="00B809CB" w:rsidRPr="00D85193" w:rsidRDefault="00B809CB" w:rsidP="00845630">
            <w:pPr>
              <w:jc w:val="center"/>
              <w:rPr>
                <w:lang w:val="ro-RO"/>
              </w:rPr>
            </w:pPr>
            <w:r w:rsidRPr="00D85193">
              <w:rPr>
                <w:lang w:val="ro-RO"/>
              </w:rPr>
              <w:t>50 şi peste</w:t>
            </w:r>
          </w:p>
        </w:tc>
        <w:tc>
          <w:tcPr>
            <w:tcW w:w="1290" w:type="dxa"/>
            <w:tcBorders>
              <w:left w:val="double" w:sz="4" w:space="0" w:color="auto"/>
            </w:tcBorders>
            <w:shd w:val="clear" w:color="auto" w:fill="auto"/>
            <w:vAlign w:val="center"/>
          </w:tcPr>
          <w:p w:rsidR="00B809CB" w:rsidRPr="00D85193" w:rsidRDefault="00B809CB" w:rsidP="00845630">
            <w:pPr>
              <w:tabs>
                <w:tab w:val="left" w:pos="612"/>
              </w:tabs>
              <w:ind w:right="397"/>
              <w:jc w:val="right"/>
              <w:rPr>
                <w:lang w:val="ro-RO"/>
              </w:rPr>
            </w:pPr>
            <w:r>
              <w:rPr>
                <w:lang w:val="ro-RO"/>
              </w:rPr>
              <w:t>8</w:t>
            </w:r>
          </w:p>
        </w:tc>
        <w:tc>
          <w:tcPr>
            <w:tcW w:w="1341" w:type="dxa"/>
            <w:shd w:val="clear" w:color="auto" w:fill="auto"/>
            <w:vAlign w:val="center"/>
          </w:tcPr>
          <w:p w:rsidR="00B809CB" w:rsidRPr="00D85193" w:rsidRDefault="00B809CB" w:rsidP="00845630">
            <w:pPr>
              <w:tabs>
                <w:tab w:val="left" w:pos="612"/>
              </w:tabs>
              <w:ind w:right="397"/>
              <w:jc w:val="right"/>
              <w:rPr>
                <w:lang w:val="ro-RO"/>
              </w:rPr>
            </w:pPr>
            <w:r>
              <w:rPr>
                <w:lang w:val="ro-RO"/>
              </w:rPr>
              <w:t>8</w:t>
            </w:r>
          </w:p>
        </w:tc>
        <w:tc>
          <w:tcPr>
            <w:tcW w:w="1342" w:type="dxa"/>
            <w:shd w:val="clear" w:color="auto" w:fill="auto"/>
            <w:vAlign w:val="center"/>
          </w:tcPr>
          <w:p w:rsidR="00B809CB" w:rsidRPr="00D85193" w:rsidRDefault="00B809CB" w:rsidP="00845630">
            <w:pPr>
              <w:tabs>
                <w:tab w:val="left" w:pos="612"/>
              </w:tabs>
              <w:ind w:right="397"/>
              <w:jc w:val="right"/>
              <w:rPr>
                <w:lang w:val="ro-RO"/>
              </w:rPr>
            </w:pPr>
            <w:r w:rsidRPr="00D85193">
              <w:rPr>
                <w:lang w:val="ro-RO"/>
              </w:rPr>
              <w:t>-</w:t>
            </w:r>
          </w:p>
        </w:tc>
        <w:tc>
          <w:tcPr>
            <w:tcW w:w="1341" w:type="dxa"/>
            <w:shd w:val="clear" w:color="auto" w:fill="auto"/>
            <w:vAlign w:val="center"/>
          </w:tcPr>
          <w:p w:rsidR="00B809CB" w:rsidRPr="00D85193" w:rsidRDefault="00B809CB" w:rsidP="00845630">
            <w:pPr>
              <w:tabs>
                <w:tab w:val="left" w:pos="612"/>
              </w:tabs>
              <w:ind w:right="397"/>
              <w:jc w:val="right"/>
              <w:rPr>
                <w:lang w:val="ro-RO"/>
              </w:rPr>
            </w:pPr>
            <w:r>
              <w:rPr>
                <w:lang w:val="ro-RO"/>
              </w:rPr>
              <w:t>1</w:t>
            </w:r>
          </w:p>
        </w:tc>
        <w:tc>
          <w:tcPr>
            <w:tcW w:w="1282" w:type="dxa"/>
            <w:shd w:val="clear" w:color="auto" w:fill="auto"/>
            <w:vAlign w:val="center"/>
          </w:tcPr>
          <w:p w:rsidR="00B809CB" w:rsidRPr="00D85193" w:rsidRDefault="00B809CB" w:rsidP="00845630">
            <w:pPr>
              <w:tabs>
                <w:tab w:val="left" w:pos="612"/>
              </w:tabs>
              <w:ind w:right="397"/>
              <w:jc w:val="right"/>
              <w:rPr>
                <w:lang w:val="ro-RO"/>
              </w:rPr>
            </w:pPr>
            <w:r>
              <w:rPr>
                <w:lang w:val="ro-RO"/>
              </w:rPr>
              <w:t>7</w:t>
            </w:r>
          </w:p>
        </w:tc>
      </w:tr>
      <w:tr w:rsidR="00B809CB" w:rsidRPr="00D85193" w:rsidTr="00845630">
        <w:trPr>
          <w:trHeight w:val="397"/>
        </w:trPr>
        <w:tc>
          <w:tcPr>
            <w:tcW w:w="2868" w:type="dxa"/>
            <w:tcBorders>
              <w:bottom w:val="double" w:sz="4" w:space="0" w:color="auto"/>
              <w:right w:val="double" w:sz="4" w:space="0" w:color="auto"/>
            </w:tcBorders>
            <w:shd w:val="clear" w:color="auto" w:fill="auto"/>
            <w:vAlign w:val="center"/>
          </w:tcPr>
          <w:p w:rsidR="00B809CB" w:rsidRPr="00D85193" w:rsidRDefault="00B809CB" w:rsidP="00845630">
            <w:pPr>
              <w:spacing w:after="120"/>
              <w:jc w:val="center"/>
              <w:rPr>
                <w:b/>
                <w:lang w:val="ro-RO"/>
              </w:rPr>
            </w:pPr>
            <w:r w:rsidRPr="00D85193">
              <w:rPr>
                <w:b/>
                <w:lang w:val="ro-RO"/>
              </w:rPr>
              <w:t>Total personal statistic</w:t>
            </w:r>
          </w:p>
        </w:tc>
        <w:tc>
          <w:tcPr>
            <w:tcW w:w="1290" w:type="dxa"/>
            <w:tcBorders>
              <w:left w:val="double" w:sz="4" w:space="0" w:color="auto"/>
              <w:bottom w:val="double" w:sz="4" w:space="0" w:color="auto"/>
            </w:tcBorders>
            <w:shd w:val="clear" w:color="auto" w:fill="auto"/>
            <w:vAlign w:val="center"/>
          </w:tcPr>
          <w:p w:rsidR="00B809CB" w:rsidRPr="00D85193" w:rsidRDefault="00B809CB" w:rsidP="00845630">
            <w:pPr>
              <w:tabs>
                <w:tab w:val="left" w:pos="612"/>
              </w:tabs>
              <w:spacing w:after="120"/>
              <w:ind w:right="397"/>
              <w:jc w:val="right"/>
              <w:rPr>
                <w:b/>
                <w:lang w:val="ro-RO"/>
              </w:rPr>
            </w:pPr>
            <w:r w:rsidRPr="00D85193">
              <w:rPr>
                <w:b/>
                <w:lang w:val="ro-RO"/>
              </w:rPr>
              <w:t>2</w:t>
            </w:r>
            <w:r>
              <w:rPr>
                <w:b/>
                <w:lang w:val="ro-RO"/>
              </w:rPr>
              <w:t>8</w:t>
            </w:r>
          </w:p>
        </w:tc>
        <w:tc>
          <w:tcPr>
            <w:tcW w:w="1341" w:type="dxa"/>
            <w:tcBorders>
              <w:bottom w:val="double" w:sz="4" w:space="0" w:color="auto"/>
            </w:tcBorders>
            <w:shd w:val="clear" w:color="auto" w:fill="auto"/>
            <w:vAlign w:val="center"/>
          </w:tcPr>
          <w:p w:rsidR="00B809CB" w:rsidRPr="00D85193" w:rsidRDefault="00B809CB" w:rsidP="00845630">
            <w:pPr>
              <w:tabs>
                <w:tab w:val="left" w:pos="612"/>
              </w:tabs>
              <w:spacing w:after="120"/>
              <w:ind w:right="397"/>
              <w:jc w:val="right"/>
              <w:rPr>
                <w:b/>
                <w:lang w:val="ro-RO"/>
              </w:rPr>
            </w:pPr>
            <w:r w:rsidRPr="00D85193">
              <w:rPr>
                <w:b/>
                <w:lang w:val="ro-RO"/>
              </w:rPr>
              <w:t>2</w:t>
            </w:r>
            <w:r>
              <w:rPr>
                <w:b/>
                <w:lang w:val="ro-RO"/>
              </w:rPr>
              <w:t>8</w:t>
            </w:r>
          </w:p>
        </w:tc>
        <w:tc>
          <w:tcPr>
            <w:tcW w:w="1342" w:type="dxa"/>
            <w:tcBorders>
              <w:bottom w:val="double" w:sz="4" w:space="0" w:color="auto"/>
            </w:tcBorders>
            <w:shd w:val="clear" w:color="auto" w:fill="auto"/>
            <w:vAlign w:val="center"/>
          </w:tcPr>
          <w:p w:rsidR="00B809CB" w:rsidRPr="00D85193" w:rsidRDefault="00B809CB" w:rsidP="00845630">
            <w:pPr>
              <w:tabs>
                <w:tab w:val="left" w:pos="612"/>
              </w:tabs>
              <w:spacing w:after="120"/>
              <w:ind w:right="397"/>
              <w:jc w:val="right"/>
              <w:rPr>
                <w:b/>
                <w:lang w:val="ro-RO"/>
              </w:rPr>
            </w:pPr>
            <w:r w:rsidRPr="00D85193">
              <w:rPr>
                <w:b/>
                <w:lang w:val="ro-RO"/>
              </w:rPr>
              <w:t>-</w:t>
            </w:r>
          </w:p>
        </w:tc>
        <w:tc>
          <w:tcPr>
            <w:tcW w:w="1341" w:type="dxa"/>
            <w:tcBorders>
              <w:bottom w:val="double" w:sz="4" w:space="0" w:color="auto"/>
            </w:tcBorders>
            <w:shd w:val="clear" w:color="auto" w:fill="auto"/>
            <w:vAlign w:val="center"/>
          </w:tcPr>
          <w:p w:rsidR="00B809CB" w:rsidRPr="00D85193" w:rsidRDefault="00B809CB" w:rsidP="00845630">
            <w:pPr>
              <w:tabs>
                <w:tab w:val="left" w:pos="612"/>
              </w:tabs>
              <w:spacing w:after="120"/>
              <w:ind w:right="397"/>
              <w:jc w:val="right"/>
              <w:rPr>
                <w:b/>
                <w:lang w:val="ro-RO"/>
              </w:rPr>
            </w:pPr>
            <w:r>
              <w:rPr>
                <w:b/>
                <w:lang w:val="ro-RO"/>
              </w:rPr>
              <w:t>7</w:t>
            </w:r>
          </w:p>
        </w:tc>
        <w:tc>
          <w:tcPr>
            <w:tcW w:w="1282" w:type="dxa"/>
            <w:tcBorders>
              <w:bottom w:val="double" w:sz="4" w:space="0" w:color="auto"/>
            </w:tcBorders>
            <w:shd w:val="clear" w:color="auto" w:fill="auto"/>
            <w:vAlign w:val="center"/>
          </w:tcPr>
          <w:p w:rsidR="00B809CB" w:rsidRPr="00D85193" w:rsidRDefault="00B809CB" w:rsidP="00845630">
            <w:pPr>
              <w:tabs>
                <w:tab w:val="left" w:pos="612"/>
              </w:tabs>
              <w:spacing w:after="120"/>
              <w:ind w:right="397"/>
              <w:jc w:val="right"/>
              <w:rPr>
                <w:b/>
                <w:lang w:val="ro-RO"/>
              </w:rPr>
            </w:pPr>
            <w:r w:rsidRPr="00D85193">
              <w:rPr>
                <w:b/>
                <w:lang w:val="ro-RO"/>
              </w:rPr>
              <w:t>21</w:t>
            </w:r>
          </w:p>
        </w:tc>
      </w:tr>
    </w:tbl>
    <w:p w:rsidR="00B809CB" w:rsidRPr="00D85193" w:rsidRDefault="00B809CB" w:rsidP="00B809CB">
      <w:pPr>
        <w:ind w:firstLine="840"/>
        <w:jc w:val="both"/>
        <w:rPr>
          <w:sz w:val="28"/>
          <w:szCs w:val="28"/>
          <w:lang w:val="ro-RO"/>
        </w:rPr>
      </w:pPr>
    </w:p>
    <w:p w:rsidR="00B809CB" w:rsidRPr="00302BC7" w:rsidRDefault="00B809CB" w:rsidP="00B809CB">
      <w:pPr>
        <w:ind w:firstLine="840"/>
        <w:jc w:val="both"/>
        <w:rPr>
          <w:sz w:val="28"/>
          <w:szCs w:val="28"/>
          <w:lang w:val="ro-RO"/>
        </w:rPr>
      </w:pPr>
      <w:r w:rsidRPr="00302BC7">
        <w:rPr>
          <w:sz w:val="28"/>
          <w:szCs w:val="28"/>
          <w:lang w:val="ro-RO"/>
        </w:rPr>
        <w:t>În anul 20</w:t>
      </w:r>
      <w:r>
        <w:rPr>
          <w:sz w:val="28"/>
          <w:szCs w:val="28"/>
          <w:lang w:val="ro-RO"/>
        </w:rPr>
        <w:t>21</w:t>
      </w:r>
      <w:r w:rsidRPr="00302BC7">
        <w:rPr>
          <w:sz w:val="28"/>
          <w:szCs w:val="28"/>
          <w:lang w:val="ro-RO"/>
        </w:rPr>
        <w:t xml:space="preserve"> se constată că ponderea personalului din grupele de vârstă                                   între 40 şi 49 ani este de 67,85% din personalul statistic, înregistrându-se o scădere a personalului la această grupă de persoane. În grupa de 50 ani şi peste 50 de ani                                    sunt 8 persoane, respectiv 28,57%.</w:t>
      </w:r>
    </w:p>
    <w:p w:rsidR="00B809CB" w:rsidRPr="00D85193" w:rsidRDefault="00B809CB" w:rsidP="00B809CB">
      <w:pPr>
        <w:ind w:firstLine="840"/>
        <w:jc w:val="both"/>
        <w:rPr>
          <w:sz w:val="28"/>
          <w:szCs w:val="28"/>
          <w:lang w:val="ro-RO"/>
        </w:rPr>
      </w:pPr>
      <w:r w:rsidRPr="00D85193">
        <w:rPr>
          <w:sz w:val="28"/>
          <w:szCs w:val="28"/>
          <w:lang w:val="ro-RO"/>
        </w:rPr>
        <w:t>La sfârşitul anului 20</w:t>
      </w:r>
      <w:r>
        <w:rPr>
          <w:sz w:val="28"/>
          <w:szCs w:val="28"/>
          <w:lang w:val="ro-RO"/>
        </w:rPr>
        <w:t>21</w:t>
      </w:r>
      <w:r w:rsidRPr="00D85193">
        <w:rPr>
          <w:sz w:val="28"/>
          <w:szCs w:val="28"/>
          <w:lang w:val="ro-RO"/>
        </w:rPr>
        <w:t xml:space="preserve">, din numărul total de 33 de posturi, 32 au fost posturi de funcţionari publici, din care </w:t>
      </w:r>
      <w:r>
        <w:rPr>
          <w:sz w:val="28"/>
          <w:szCs w:val="28"/>
          <w:lang w:val="ro-RO"/>
        </w:rPr>
        <w:t>patru</w:t>
      </w:r>
      <w:r w:rsidRPr="00D85193">
        <w:rPr>
          <w:sz w:val="28"/>
          <w:szCs w:val="28"/>
          <w:lang w:val="ro-RO"/>
        </w:rPr>
        <w:t xml:space="preserve"> posturi vacante şi 1 post de personal contractual. Din totalul posturilor ocupate, Direcţia Judeţeană de Statistică Argeş este încadrată </w:t>
      </w:r>
      <w:r>
        <w:rPr>
          <w:sz w:val="28"/>
          <w:szCs w:val="28"/>
          <w:lang w:val="ro-RO"/>
        </w:rPr>
        <w:t xml:space="preserve">                    </w:t>
      </w:r>
      <w:r w:rsidRPr="00D85193">
        <w:rPr>
          <w:sz w:val="28"/>
          <w:szCs w:val="28"/>
          <w:lang w:val="ro-RO"/>
        </w:rPr>
        <w:t xml:space="preserve">cu </w:t>
      </w:r>
      <w:r>
        <w:rPr>
          <w:sz w:val="28"/>
          <w:szCs w:val="28"/>
          <w:lang w:val="ro-RO"/>
        </w:rPr>
        <w:t>2</w:t>
      </w:r>
      <w:r w:rsidRPr="00D85193">
        <w:rPr>
          <w:sz w:val="28"/>
          <w:szCs w:val="28"/>
          <w:lang w:val="ro-RO"/>
        </w:rPr>
        <w:t xml:space="preserve"> persoane cu funcţii de conducere (1 director executiv</w:t>
      </w:r>
      <w:r>
        <w:rPr>
          <w:sz w:val="28"/>
          <w:szCs w:val="28"/>
          <w:lang w:val="ro-RO"/>
        </w:rPr>
        <w:t>, un post de director executiv adjunct</w:t>
      </w:r>
      <w:r w:rsidRPr="00D85193">
        <w:rPr>
          <w:sz w:val="28"/>
          <w:szCs w:val="28"/>
          <w:lang w:val="ro-RO"/>
        </w:rPr>
        <w:t xml:space="preserve"> şi </w:t>
      </w:r>
      <w:r>
        <w:rPr>
          <w:sz w:val="28"/>
          <w:szCs w:val="28"/>
          <w:lang w:val="ro-RO"/>
        </w:rPr>
        <w:t>un post de şef de serviciu)</w:t>
      </w:r>
      <w:r w:rsidRPr="00D85193">
        <w:rPr>
          <w:sz w:val="28"/>
          <w:szCs w:val="28"/>
          <w:lang w:val="ro-RO"/>
        </w:rPr>
        <w:t xml:space="preserve"> reprezentând 9,09 % din personalul aprobat.</w:t>
      </w:r>
    </w:p>
    <w:p w:rsidR="00B809CB" w:rsidRDefault="00B809CB" w:rsidP="00B809CB">
      <w:pPr>
        <w:ind w:firstLine="840"/>
        <w:jc w:val="both"/>
        <w:rPr>
          <w:sz w:val="28"/>
          <w:szCs w:val="28"/>
          <w:lang w:val="ro-RO"/>
        </w:rPr>
      </w:pPr>
      <w:r w:rsidRPr="005563C5">
        <w:rPr>
          <w:sz w:val="28"/>
          <w:szCs w:val="28"/>
          <w:lang w:val="ro-RO"/>
        </w:rPr>
        <w:t>Salarizarea s-a realizat în baza Legii nr. 153/2017, cu modificările ulterioare,</w:t>
      </w:r>
      <w:r>
        <w:rPr>
          <w:sz w:val="28"/>
          <w:szCs w:val="28"/>
          <w:lang w:val="ro-RO"/>
        </w:rPr>
        <w:t xml:space="preserve"> </w:t>
      </w:r>
      <w:r w:rsidRPr="005563C5">
        <w:rPr>
          <w:sz w:val="28"/>
          <w:szCs w:val="28"/>
          <w:lang w:val="ro-RO"/>
        </w:rPr>
        <w:t xml:space="preserve">iar câştigul </w:t>
      </w:r>
      <w:r>
        <w:rPr>
          <w:sz w:val="28"/>
          <w:szCs w:val="28"/>
          <w:lang w:val="ro-RO"/>
        </w:rPr>
        <w:t>salarial mediu brut în anul 2021</w:t>
      </w:r>
      <w:r w:rsidRPr="005563C5">
        <w:rPr>
          <w:sz w:val="28"/>
          <w:szCs w:val="28"/>
          <w:lang w:val="ro-RO"/>
        </w:rPr>
        <w:t xml:space="preserve"> pe total personal</w:t>
      </w:r>
      <w:r>
        <w:rPr>
          <w:sz w:val="28"/>
          <w:szCs w:val="28"/>
          <w:lang w:val="ro-RO"/>
        </w:rPr>
        <w:t xml:space="preserve"> </w:t>
      </w:r>
      <w:r w:rsidRPr="005563C5">
        <w:rPr>
          <w:sz w:val="28"/>
          <w:szCs w:val="28"/>
          <w:lang w:val="ro-RO"/>
        </w:rPr>
        <w:t xml:space="preserve">a fost de </w:t>
      </w:r>
      <w:r w:rsidRPr="0045421B">
        <w:rPr>
          <w:sz w:val="28"/>
          <w:szCs w:val="28"/>
          <w:lang w:val="ro-RO"/>
        </w:rPr>
        <w:t>7</w:t>
      </w:r>
      <w:r>
        <w:rPr>
          <w:sz w:val="28"/>
          <w:szCs w:val="28"/>
          <w:lang w:val="ro-RO"/>
        </w:rPr>
        <w:t>183</w:t>
      </w:r>
      <w:r w:rsidRPr="005563C5">
        <w:rPr>
          <w:sz w:val="28"/>
          <w:szCs w:val="28"/>
          <w:lang w:val="ro-RO"/>
        </w:rPr>
        <w:t xml:space="preserve"> lei. </w:t>
      </w:r>
    </w:p>
    <w:p w:rsidR="00B809CB" w:rsidRDefault="00B809CB" w:rsidP="00B809CB">
      <w:pPr>
        <w:ind w:firstLine="840"/>
        <w:jc w:val="both"/>
        <w:rPr>
          <w:sz w:val="28"/>
          <w:szCs w:val="28"/>
          <w:lang w:val="ro-RO"/>
        </w:rPr>
      </w:pPr>
      <w:r w:rsidRPr="005563C5">
        <w:rPr>
          <w:sz w:val="28"/>
          <w:szCs w:val="28"/>
          <w:lang w:val="ro-RO"/>
        </w:rPr>
        <w:t>În cursul anului</w:t>
      </w:r>
      <w:r>
        <w:rPr>
          <w:sz w:val="28"/>
          <w:szCs w:val="28"/>
          <w:lang w:val="ro-RO"/>
        </w:rPr>
        <w:t xml:space="preserve"> 2021 nici o persoană din cadrul</w:t>
      </w:r>
      <w:r w:rsidRPr="005563C5">
        <w:rPr>
          <w:sz w:val="28"/>
          <w:szCs w:val="28"/>
          <w:lang w:val="ro-RO"/>
        </w:rPr>
        <w:t xml:space="preserve"> Direcţiei Judeţene de Statistică Argeş </w:t>
      </w:r>
      <w:r>
        <w:rPr>
          <w:sz w:val="28"/>
          <w:szCs w:val="28"/>
          <w:lang w:val="ro-RO"/>
        </w:rPr>
        <w:t xml:space="preserve">nu </w:t>
      </w:r>
      <w:r w:rsidRPr="005563C5">
        <w:rPr>
          <w:sz w:val="28"/>
          <w:szCs w:val="28"/>
          <w:lang w:val="ro-RO"/>
        </w:rPr>
        <w:t>a beneficiat de acces la cursuri de pregătire profesională, conform Pla</w:t>
      </w:r>
      <w:r>
        <w:rPr>
          <w:sz w:val="28"/>
          <w:szCs w:val="28"/>
          <w:lang w:val="ro-RO"/>
        </w:rPr>
        <w:t>nului de Pregătire Profesională. Situația a fost cauzată de bugetul insuficient primit pentru această activitate, dar și de limitările impuse de situația sanitară generată de pandemia cu COVID19</w:t>
      </w:r>
      <w:r w:rsidRPr="005563C5">
        <w:rPr>
          <w:sz w:val="28"/>
          <w:szCs w:val="28"/>
          <w:lang w:val="ro-RO"/>
        </w:rPr>
        <w:t>.</w:t>
      </w:r>
      <w:r>
        <w:rPr>
          <w:sz w:val="28"/>
          <w:szCs w:val="28"/>
          <w:lang w:val="ro-RO"/>
        </w:rPr>
        <w:t xml:space="preserve"> </w:t>
      </w:r>
    </w:p>
    <w:p w:rsidR="00B809CB" w:rsidRPr="005563C5" w:rsidRDefault="00B809CB" w:rsidP="00B809CB">
      <w:pPr>
        <w:ind w:firstLine="840"/>
        <w:jc w:val="both"/>
        <w:rPr>
          <w:sz w:val="28"/>
          <w:szCs w:val="28"/>
          <w:lang w:val="ro-RO"/>
        </w:rPr>
      </w:pPr>
      <w:r>
        <w:rPr>
          <w:sz w:val="28"/>
          <w:szCs w:val="28"/>
          <w:lang w:val="ro-RO"/>
        </w:rPr>
        <w:t>În cursul anului 2021, în conformitate cu OUG nr.22/2020, au fost angajate cu contract de muncă pe perioadă determinată, 17 persoane cu atribuții în pregătirea, organizarea și desfășurarea activităților pentru Recensământul Populației și Locuințelor 2021.</w:t>
      </w:r>
    </w:p>
    <w:p w:rsidR="00B809CB" w:rsidRPr="005563C5" w:rsidRDefault="00B809CB" w:rsidP="00B809CB">
      <w:pPr>
        <w:jc w:val="both"/>
        <w:rPr>
          <w:b/>
          <w:sz w:val="28"/>
          <w:szCs w:val="28"/>
          <w:lang w:val="ro-RO"/>
        </w:rPr>
      </w:pPr>
    </w:p>
    <w:p w:rsidR="00B809CB" w:rsidRPr="005563C5" w:rsidRDefault="00B809CB" w:rsidP="00B809CB">
      <w:pPr>
        <w:jc w:val="both"/>
        <w:rPr>
          <w:b/>
          <w:sz w:val="28"/>
          <w:szCs w:val="28"/>
          <w:lang w:val="ro-RO"/>
        </w:rPr>
      </w:pPr>
      <w:r w:rsidRPr="005563C5">
        <w:rPr>
          <w:b/>
          <w:sz w:val="28"/>
          <w:szCs w:val="28"/>
        </w:rPr>
        <w:t>Capitolul 4.</w:t>
      </w:r>
      <w:r>
        <w:rPr>
          <w:b/>
          <w:sz w:val="28"/>
          <w:szCs w:val="28"/>
        </w:rPr>
        <w:t xml:space="preserve"> </w:t>
      </w:r>
      <w:r w:rsidRPr="005563C5">
        <w:rPr>
          <w:b/>
          <w:sz w:val="28"/>
          <w:szCs w:val="28"/>
        </w:rPr>
        <w:t>Relația cu comunitatea</w:t>
      </w:r>
    </w:p>
    <w:p w:rsidR="00B809CB" w:rsidRPr="005563C5" w:rsidRDefault="00B809CB" w:rsidP="00B809CB">
      <w:pPr>
        <w:jc w:val="both"/>
        <w:rPr>
          <w:b/>
          <w:sz w:val="28"/>
          <w:szCs w:val="28"/>
          <w:lang w:val="ro-RO"/>
        </w:rPr>
      </w:pPr>
    </w:p>
    <w:p w:rsidR="00B809CB" w:rsidRPr="005563C5" w:rsidRDefault="00B809CB" w:rsidP="00B809CB">
      <w:pPr>
        <w:jc w:val="both"/>
        <w:rPr>
          <w:sz w:val="28"/>
          <w:szCs w:val="28"/>
          <w:lang w:val="ro-RO"/>
        </w:rPr>
      </w:pPr>
      <w:r w:rsidRPr="005563C5">
        <w:rPr>
          <w:b/>
          <w:sz w:val="28"/>
          <w:szCs w:val="28"/>
          <w:lang w:val="ro-RO"/>
        </w:rPr>
        <w:tab/>
      </w:r>
      <w:r w:rsidRPr="005563C5">
        <w:rPr>
          <w:sz w:val="28"/>
          <w:szCs w:val="28"/>
          <w:lang w:val="ro-RO"/>
        </w:rPr>
        <w:t xml:space="preserve">Asigurarea accesului la informațiile de interes public s-a făcut prin intermediul Compartimentul Sinteză, Coordonare, Diseminare şi Relaţii cu Publicul, din oficiu sau la </w:t>
      </w:r>
      <w:r w:rsidRPr="005563C5">
        <w:rPr>
          <w:sz w:val="28"/>
          <w:szCs w:val="28"/>
          <w:lang w:val="ro-RO"/>
        </w:rPr>
        <w:lastRenderedPageBreak/>
        <w:t>cerere, în conformitate cu prevederile Legii 544 din 2001 privind liberul acces la informațiile de interes public, Legea 52 din 2003 privind transparența decizională în adimistrația publică și cu procedura operațională proprie privind furnizarea datelor statistice la cerere în cadrul Direcțiilor Regionale/Județene de Statistică.</w:t>
      </w:r>
    </w:p>
    <w:p w:rsidR="00B809CB" w:rsidRPr="005563C5" w:rsidRDefault="00B809CB" w:rsidP="00B809CB">
      <w:pPr>
        <w:jc w:val="both"/>
        <w:rPr>
          <w:sz w:val="28"/>
          <w:szCs w:val="28"/>
        </w:rPr>
      </w:pPr>
      <w:r w:rsidRPr="005563C5">
        <w:rPr>
          <w:sz w:val="28"/>
          <w:szCs w:val="28"/>
          <w:lang w:val="ro-RO"/>
        </w:rPr>
        <w:tab/>
        <w:t>Sinteza activităților derulate în acest scop este prezentată prin intermediul Raportului de evaluare a implementării L</w:t>
      </w:r>
      <w:r>
        <w:rPr>
          <w:sz w:val="28"/>
          <w:szCs w:val="28"/>
          <w:lang w:val="ro-RO"/>
        </w:rPr>
        <w:t>egii nr.544/2001 în anul 2021</w:t>
      </w:r>
      <w:r w:rsidRPr="005563C5">
        <w:rPr>
          <w:sz w:val="28"/>
          <w:szCs w:val="28"/>
          <w:lang w:val="ro-RO"/>
        </w:rPr>
        <w:t xml:space="preserve"> (</w:t>
      </w:r>
      <w:r w:rsidRPr="005563C5">
        <w:rPr>
          <w:b/>
          <w:sz w:val="28"/>
          <w:szCs w:val="28"/>
          <w:lang w:val="ro-RO"/>
        </w:rPr>
        <w:t>anexa nr.2</w:t>
      </w:r>
      <w:r w:rsidRPr="005563C5">
        <w:rPr>
          <w:sz w:val="28"/>
          <w:szCs w:val="28"/>
          <w:lang w:val="ro-RO"/>
        </w:rPr>
        <w:t xml:space="preserve"> la acest raport) și în Raportul anual privind transparența decizională, în aplicarea Legii nr.52/2003, republicată, la nivelul Direcției Județene d</w:t>
      </w:r>
      <w:r>
        <w:rPr>
          <w:sz w:val="28"/>
          <w:szCs w:val="28"/>
          <w:lang w:val="ro-RO"/>
        </w:rPr>
        <w:t>e Statistică Argeș, în anul 2020</w:t>
      </w:r>
      <w:r w:rsidRPr="005563C5">
        <w:rPr>
          <w:sz w:val="28"/>
          <w:szCs w:val="28"/>
          <w:lang w:val="ro-RO"/>
        </w:rPr>
        <w:t xml:space="preserve"> (</w:t>
      </w:r>
      <w:r w:rsidRPr="005563C5">
        <w:rPr>
          <w:b/>
          <w:sz w:val="28"/>
          <w:szCs w:val="28"/>
          <w:lang w:val="ro-RO"/>
        </w:rPr>
        <w:t>anexa nr.3</w:t>
      </w:r>
      <w:r w:rsidRPr="005563C5">
        <w:rPr>
          <w:sz w:val="28"/>
          <w:szCs w:val="28"/>
          <w:lang w:val="ro-RO"/>
        </w:rPr>
        <w:t xml:space="preserve"> la acest raport), documente care pot fi găsite și pe site-l Direcției Județene de Statistică Argeș</w:t>
      </w:r>
      <w:r w:rsidRPr="005563C5">
        <w:rPr>
          <w:sz w:val="28"/>
          <w:szCs w:val="28"/>
        </w:rPr>
        <w:t>, la adresa</w:t>
      </w:r>
      <w:r>
        <w:rPr>
          <w:sz w:val="28"/>
          <w:szCs w:val="28"/>
        </w:rPr>
        <w:t xml:space="preserve"> </w:t>
      </w:r>
      <w:r w:rsidRPr="005563C5">
        <w:rPr>
          <w:i/>
          <w:sz w:val="28"/>
          <w:szCs w:val="28"/>
        </w:rPr>
        <w:t>www.arges.insse.ro/informatii/informatii-de-interes-public/</w:t>
      </w:r>
      <w:r w:rsidRPr="005563C5">
        <w:rPr>
          <w:sz w:val="28"/>
          <w:szCs w:val="28"/>
        </w:rPr>
        <w:t xml:space="preserve"> .</w:t>
      </w:r>
      <w:r>
        <w:rPr>
          <w:sz w:val="28"/>
          <w:szCs w:val="28"/>
        </w:rPr>
        <w:t xml:space="preserve"> </w:t>
      </w:r>
    </w:p>
    <w:p w:rsidR="00766E04" w:rsidRDefault="00B809CB" w:rsidP="00B809CB">
      <w:pPr>
        <w:jc w:val="both"/>
        <w:rPr>
          <w:sz w:val="28"/>
          <w:szCs w:val="28"/>
          <w:lang w:val="ro-RO"/>
        </w:rPr>
      </w:pPr>
      <w:r w:rsidRPr="005563C5">
        <w:rPr>
          <w:sz w:val="28"/>
          <w:szCs w:val="28"/>
        </w:rPr>
        <w:tab/>
      </w:r>
      <w:r>
        <w:rPr>
          <w:sz w:val="28"/>
          <w:szCs w:val="28"/>
        </w:rPr>
        <w:t>Pe parcursul anului 2021</w:t>
      </w:r>
      <w:r w:rsidRPr="005563C5">
        <w:rPr>
          <w:sz w:val="28"/>
          <w:szCs w:val="28"/>
        </w:rPr>
        <w:t>,</w:t>
      </w:r>
      <w:r>
        <w:rPr>
          <w:sz w:val="28"/>
          <w:szCs w:val="28"/>
        </w:rPr>
        <w:t xml:space="preserve"> </w:t>
      </w:r>
      <w:r w:rsidRPr="005563C5">
        <w:rPr>
          <w:sz w:val="28"/>
          <w:szCs w:val="28"/>
          <w:lang w:val="ro-RO"/>
        </w:rPr>
        <w:t>Direcția Județeană de Statistică Argeș și-a continuat colaborarea instituțională bună avută în anii precedenți cu diverse instituții publice de la nivelul județului Argeș (Instituția Prefectului Argeș, Consiliul Județean Argeș, Direcția Generală pentru Evidența Persoanelor Argeș, Direcția Agricolă Județeană, Inspectoratul Școlar Județean, etc.), cu instituțiile de învățământ superior (Universitatea Pitești și Universitatea „Constantin Brâncoveanu”), cu asociațiile profesionale (CECCAR și AOA), precum și cu unitățile administrativ teritoriale din județ. Pentru popularizarea activității instituției în rândul populației, au fost făcute prezentări la posturile locale de televiziune, în presa locală scrisă și în cadrul unor evenimente organizate de cele două instituții de învățământ superior din județ.</w:t>
      </w:r>
    </w:p>
    <w:p w:rsidR="006E5160" w:rsidRDefault="006E5160" w:rsidP="00511DB6">
      <w:pPr>
        <w:jc w:val="both"/>
        <w:rPr>
          <w:sz w:val="28"/>
          <w:szCs w:val="28"/>
          <w:lang w:val="ro-RO"/>
        </w:rPr>
      </w:pPr>
    </w:p>
    <w:p w:rsidR="006E5160" w:rsidRDefault="006E5160" w:rsidP="00511DB6">
      <w:pPr>
        <w:jc w:val="both"/>
        <w:rPr>
          <w:b/>
          <w:i/>
          <w:sz w:val="32"/>
          <w:szCs w:val="32"/>
          <w:u w:val="single"/>
          <w:lang w:val="ro-RO"/>
        </w:rPr>
      </w:pPr>
      <w:r w:rsidRPr="006E5160">
        <w:rPr>
          <w:b/>
          <w:i/>
          <w:sz w:val="32"/>
          <w:szCs w:val="32"/>
          <w:u w:val="single"/>
          <w:lang w:val="ro-RO"/>
        </w:rPr>
        <w:t>Recensământul general agricol – runda 2020</w:t>
      </w:r>
    </w:p>
    <w:p w:rsidR="006E5160" w:rsidRDefault="006E5160" w:rsidP="00511DB6">
      <w:pPr>
        <w:jc w:val="both"/>
        <w:rPr>
          <w:b/>
          <w:i/>
          <w:sz w:val="32"/>
          <w:szCs w:val="32"/>
          <w:u w:val="single"/>
          <w:lang w:val="ro-RO"/>
        </w:rPr>
      </w:pPr>
    </w:p>
    <w:p w:rsidR="006E5160" w:rsidRPr="0078062F" w:rsidRDefault="00B51AED" w:rsidP="00B51AED">
      <w:pPr>
        <w:ind w:firstLine="720"/>
        <w:jc w:val="both"/>
        <w:rPr>
          <w:sz w:val="28"/>
          <w:szCs w:val="28"/>
          <w:lang w:val="ro-RO"/>
        </w:rPr>
      </w:pPr>
      <w:r w:rsidRPr="0078062F">
        <w:rPr>
          <w:sz w:val="28"/>
          <w:szCs w:val="28"/>
          <w:lang w:val="ro-RO"/>
        </w:rPr>
        <w:t>În conformitate cu Regulamentul (UE) 2018/1091 al Parlamentului European şi al Consiliului din 18 iulie 2018 privind statisticile integrate referitoare la ferme şi de abrogare a Regulamentelor (CE) nr. 1166/2008 şi (UE) nr. 1337/2011 și în baza Ordonanței de Urgență a Guvernului nr.22/2020 în perioada 10 mai 2021 – 31 iulie 2021 s-a efectuat, la nivel naţional, în toate unităţile administrativ-teritoriale din România, Recensământul General Agricol.</w:t>
      </w:r>
    </w:p>
    <w:p w:rsidR="001E23F2" w:rsidRDefault="00B51AED" w:rsidP="00B51AED">
      <w:pPr>
        <w:ind w:firstLine="720"/>
        <w:jc w:val="both"/>
        <w:rPr>
          <w:sz w:val="28"/>
          <w:szCs w:val="28"/>
          <w:lang w:val="ro-RO"/>
        </w:rPr>
      </w:pPr>
      <w:r w:rsidRPr="0078062F">
        <w:rPr>
          <w:sz w:val="28"/>
          <w:szCs w:val="28"/>
          <w:lang w:val="ro-RO"/>
        </w:rPr>
        <w:t>La nivelul județului Argeș au fost constituite un număr de 813 sectoare de recensământ și 131 secții de recensământ, fiind colectate date prin interviuri directe de la un număr de 152495 exploatații agricole, dintre care 1826 exploatații cu personalitate juridică. De precizat faptul că definiția exploatației agricole prevede drept condiții minime, utilizarea unei suprafețe agricole de minim 15 ari sau deținerea a cel puțin 10 păsări sau o unitate vită mare.</w:t>
      </w:r>
      <w:r w:rsidR="0078062F">
        <w:rPr>
          <w:sz w:val="28"/>
          <w:szCs w:val="28"/>
          <w:lang w:val="ro-RO"/>
        </w:rPr>
        <w:t xml:space="preserve"> </w:t>
      </w:r>
    </w:p>
    <w:p w:rsidR="00B51AED" w:rsidRPr="0078062F" w:rsidRDefault="001E23F2" w:rsidP="00B51AED">
      <w:pPr>
        <w:ind w:firstLine="720"/>
        <w:jc w:val="both"/>
        <w:rPr>
          <w:sz w:val="28"/>
          <w:szCs w:val="28"/>
          <w:lang w:val="ro-RO"/>
        </w:rPr>
      </w:pPr>
      <w:r>
        <w:rPr>
          <w:sz w:val="28"/>
          <w:szCs w:val="28"/>
          <w:lang w:val="ro-RO"/>
        </w:rPr>
        <w:t xml:space="preserve">În vederea colectării datelor în teren au fost recrutați și instruiți un număr de peste 1000 persoane (recenzori și recenzori șefi). </w:t>
      </w:r>
      <w:r w:rsidR="0078062F">
        <w:rPr>
          <w:sz w:val="28"/>
          <w:szCs w:val="28"/>
          <w:lang w:val="ro-RO"/>
        </w:rPr>
        <w:t>Colectarea datelor s-a realizat cu ajutorul terminalelor informatice (tablete) puse la dispoziție de Serviciul de Telecomunicații Speciale, având la bază un sistem informatic dezvoltat de Institutul Național de Statistică și Banca Mondială.</w:t>
      </w:r>
    </w:p>
    <w:p w:rsidR="0078062F" w:rsidRDefault="0078062F" w:rsidP="00B51AED">
      <w:pPr>
        <w:ind w:firstLine="720"/>
        <w:jc w:val="both"/>
        <w:rPr>
          <w:sz w:val="28"/>
          <w:szCs w:val="28"/>
          <w:lang w:val="ro-RO"/>
        </w:rPr>
      </w:pPr>
      <w:r w:rsidRPr="0078062F">
        <w:rPr>
          <w:sz w:val="28"/>
          <w:szCs w:val="28"/>
          <w:lang w:val="ro-RO"/>
        </w:rPr>
        <w:t xml:space="preserve">Activitatea de colectare a datelor prin interviuri realizate de recenzori cu reprezentanți ai exploatațiilor agricole s-a încadrat în termenul aprobat prin programul calendaristic stabilit de Comisia centrală de recensământ, respectiv data de 31 iulie 2021, ulterior acestei date fiind realizate în totalitate activitățile de predare de către personalul de recensământ a terminalelor informatice folosite (tablete) și a celorlalte materiale </w:t>
      </w:r>
      <w:r w:rsidRPr="0078062F">
        <w:rPr>
          <w:sz w:val="28"/>
          <w:szCs w:val="28"/>
          <w:lang w:val="ro-RO"/>
        </w:rPr>
        <w:lastRenderedPageBreak/>
        <w:t>utilizate, astfel încât s-a putut efectua plata către aceste persoane de către Direcția pentru Agricultură a județului Argeș.</w:t>
      </w:r>
    </w:p>
    <w:p w:rsidR="00B8502D" w:rsidRPr="0078062F" w:rsidRDefault="00B8502D" w:rsidP="00B51AED">
      <w:pPr>
        <w:ind w:firstLine="720"/>
        <w:jc w:val="both"/>
        <w:rPr>
          <w:sz w:val="28"/>
          <w:szCs w:val="28"/>
        </w:rPr>
      </w:pPr>
    </w:p>
    <w:p w:rsidR="00035DA1" w:rsidRPr="005563C5" w:rsidRDefault="00A53D31" w:rsidP="00035DA1">
      <w:pPr>
        <w:jc w:val="both"/>
        <w:rPr>
          <w:sz w:val="28"/>
          <w:szCs w:val="28"/>
          <w:lang w:val="ro-RO"/>
        </w:rPr>
      </w:pPr>
      <w:r w:rsidRPr="006E5160">
        <w:rPr>
          <w:b/>
          <w:i/>
          <w:sz w:val="32"/>
          <w:szCs w:val="32"/>
          <w:u w:val="single"/>
          <w:lang w:val="ro-RO"/>
        </w:rPr>
        <w:t xml:space="preserve">Recensământul </w:t>
      </w:r>
      <w:r>
        <w:rPr>
          <w:b/>
          <w:i/>
          <w:sz w:val="32"/>
          <w:szCs w:val="32"/>
          <w:u w:val="single"/>
          <w:lang w:val="ro-RO"/>
        </w:rPr>
        <w:t xml:space="preserve">populației și locuințelor </w:t>
      </w:r>
      <w:r w:rsidRPr="006E5160">
        <w:rPr>
          <w:b/>
          <w:i/>
          <w:sz w:val="32"/>
          <w:szCs w:val="32"/>
          <w:u w:val="single"/>
          <w:lang w:val="ro-RO"/>
        </w:rPr>
        <w:t>202</w:t>
      </w:r>
      <w:r>
        <w:rPr>
          <w:b/>
          <w:i/>
          <w:sz w:val="32"/>
          <w:szCs w:val="32"/>
          <w:u w:val="single"/>
          <w:lang w:val="ro-RO"/>
        </w:rPr>
        <w:t>1</w:t>
      </w:r>
    </w:p>
    <w:p w:rsidR="00331E07" w:rsidRPr="005563C5" w:rsidRDefault="00331E07" w:rsidP="00FE23C7">
      <w:pPr>
        <w:ind w:firstLine="720"/>
        <w:jc w:val="both"/>
        <w:rPr>
          <w:sz w:val="28"/>
          <w:szCs w:val="28"/>
          <w:lang w:val="it-IT"/>
        </w:rPr>
      </w:pPr>
    </w:p>
    <w:p w:rsidR="00331E07" w:rsidRDefault="00F6479D" w:rsidP="00F6479D">
      <w:pPr>
        <w:ind w:firstLine="720"/>
        <w:jc w:val="both"/>
        <w:rPr>
          <w:sz w:val="28"/>
          <w:szCs w:val="28"/>
          <w:lang w:val="ro-RO"/>
        </w:rPr>
      </w:pPr>
      <w:r w:rsidRPr="00F6479D">
        <w:rPr>
          <w:sz w:val="28"/>
          <w:szCs w:val="28"/>
          <w:lang w:val="ro-RO"/>
        </w:rPr>
        <w:t>În baza Ordonanței de urgență a Guvernului nr. 19/2020 privind organizarea și desfășurarea recensământului populației și locuințelor din România în anul 2021, aprobată cu modificări și completări prin Legea nr. 178/2020 pentru aprobarea Ordonanței de urgență a Guvernului nr. 19/2020 privind organizarea și desfășurarea recensământului populației și locuințelor din România în anul 2021</w:t>
      </w:r>
      <w:r>
        <w:rPr>
          <w:sz w:val="28"/>
          <w:szCs w:val="28"/>
          <w:lang w:val="ro-RO"/>
        </w:rPr>
        <w:t xml:space="preserve"> și a calendarului revizuit al Comisiei Centrale pentru RPL, în perioada 14 martie-17 iulie 2022 </w:t>
      </w:r>
      <w:r w:rsidR="00B809CB">
        <w:rPr>
          <w:sz w:val="28"/>
          <w:szCs w:val="28"/>
          <w:lang w:val="ro-RO"/>
        </w:rPr>
        <w:t>s-a</w:t>
      </w:r>
      <w:r>
        <w:rPr>
          <w:sz w:val="28"/>
          <w:szCs w:val="28"/>
          <w:lang w:val="ro-RO"/>
        </w:rPr>
        <w:t xml:space="preserve"> realiz</w:t>
      </w:r>
      <w:r w:rsidR="00B809CB">
        <w:rPr>
          <w:sz w:val="28"/>
          <w:szCs w:val="28"/>
          <w:lang w:val="ro-RO"/>
        </w:rPr>
        <w:t>at</w:t>
      </w:r>
      <w:r>
        <w:rPr>
          <w:sz w:val="28"/>
          <w:szCs w:val="28"/>
          <w:lang w:val="ro-RO"/>
        </w:rPr>
        <w:t xml:space="preserve"> recenzarea tuturor structurilor de locuit și a persoanelor de pe teritoriul României.</w:t>
      </w:r>
    </w:p>
    <w:p w:rsidR="00F6479D" w:rsidRDefault="00F6479D" w:rsidP="00F6479D">
      <w:pPr>
        <w:ind w:firstLine="720"/>
        <w:jc w:val="both"/>
        <w:rPr>
          <w:sz w:val="28"/>
          <w:szCs w:val="28"/>
          <w:lang w:val="ro-RO"/>
        </w:rPr>
      </w:pPr>
      <w:r>
        <w:rPr>
          <w:sz w:val="28"/>
          <w:szCs w:val="28"/>
          <w:lang w:val="ro-RO"/>
        </w:rPr>
        <w:t>În acest sens, pentru realizarea lucrărilor pregătitoare în vederea sectorizării teritoriului și a celorlalte etape de preg</w:t>
      </w:r>
      <w:r w:rsidR="00B8502D">
        <w:rPr>
          <w:sz w:val="28"/>
          <w:szCs w:val="28"/>
          <w:lang w:val="ro-RO"/>
        </w:rPr>
        <w:t>ăt</w:t>
      </w:r>
      <w:r>
        <w:rPr>
          <w:sz w:val="28"/>
          <w:szCs w:val="28"/>
          <w:lang w:val="ro-RO"/>
        </w:rPr>
        <w:t xml:space="preserve">ire, </w:t>
      </w:r>
      <w:r w:rsidRPr="00F6479D">
        <w:rPr>
          <w:sz w:val="28"/>
          <w:szCs w:val="28"/>
          <w:lang w:val="ro-RO"/>
        </w:rPr>
        <w:t>în baza Hotărârii Guvernului nr. 733/2020 privind componența, organizarea, funcționarea și atribuțiile Unității de coordonare și implementare a recensământului, respectiv ale unităților</w:t>
      </w:r>
      <w:r w:rsidR="00B8502D">
        <w:rPr>
          <w:sz w:val="28"/>
          <w:szCs w:val="28"/>
          <w:lang w:val="ro-RO"/>
        </w:rPr>
        <w:t xml:space="preserve"> județene</w:t>
      </w:r>
      <w:r w:rsidRPr="00F6479D">
        <w:rPr>
          <w:sz w:val="28"/>
          <w:szCs w:val="28"/>
          <w:lang w:val="ro-RO"/>
        </w:rPr>
        <w:t xml:space="preserve"> de implementare a recensământului și în baza Hotărârii Guvernului nr. 1071/2020 pentru stabilirea bugetului și a categoriilor de cheltuieli necesare efectuării recensământului populației și locuințelor din România în anul 2021, precum și a măsurilor pentru punerea în aplicare a unor dispoziții din Ordonanța de urgență a Guvernului nr. 19/2020 privind organizarea și desfășurarea recensământului populației și locuințelor din România în anul 2021</w:t>
      </w:r>
      <w:r>
        <w:rPr>
          <w:sz w:val="28"/>
          <w:szCs w:val="28"/>
          <w:lang w:val="ro-RO"/>
        </w:rPr>
        <w:t>, a fost constituită Unitatea Județeană pentru Implementarea Recensământului.</w:t>
      </w:r>
    </w:p>
    <w:p w:rsidR="004C65CE" w:rsidRDefault="004C65CE" w:rsidP="004C65CE">
      <w:pPr>
        <w:ind w:firstLine="720"/>
        <w:jc w:val="both"/>
        <w:rPr>
          <w:sz w:val="28"/>
          <w:szCs w:val="28"/>
          <w:lang w:val="ro-RO"/>
        </w:rPr>
      </w:pPr>
      <w:r>
        <w:rPr>
          <w:sz w:val="28"/>
          <w:szCs w:val="28"/>
          <w:lang w:val="ro-RO"/>
        </w:rPr>
        <w:t>La nivelul județului Argeș au fost constituite, cu ajutorul unui program informatic pe bază de geolocație, dezvoltat de Institutul Național de Statistică, un număr de 592 sectoare de recensământ, cu o dimensiune medie de aproximativ 500 locuințe.</w:t>
      </w:r>
    </w:p>
    <w:p w:rsidR="004C65CE" w:rsidRDefault="004C65CE" w:rsidP="004C65CE">
      <w:pPr>
        <w:ind w:firstLine="720"/>
        <w:jc w:val="both"/>
        <w:rPr>
          <w:sz w:val="28"/>
          <w:szCs w:val="28"/>
          <w:lang w:val="ro-RO"/>
        </w:rPr>
      </w:pPr>
      <w:r>
        <w:rPr>
          <w:sz w:val="28"/>
          <w:szCs w:val="28"/>
          <w:lang w:val="ro-RO"/>
        </w:rPr>
        <w:t>Recensământul populației și locuințelor a fost organizat în două etape, respectiv autorecenzarea și recenzarea în teren, cu ajutorul personalului de recensământ special recrutat în acest sens.</w:t>
      </w:r>
    </w:p>
    <w:p w:rsidR="00397BFE" w:rsidRDefault="0042309C" w:rsidP="004C65CE">
      <w:pPr>
        <w:ind w:firstLine="720"/>
        <w:jc w:val="both"/>
        <w:rPr>
          <w:sz w:val="28"/>
          <w:szCs w:val="28"/>
          <w:lang w:val="ro-RO"/>
        </w:rPr>
      </w:pPr>
      <w:r>
        <w:rPr>
          <w:sz w:val="28"/>
          <w:szCs w:val="28"/>
          <w:lang w:val="ro-RO"/>
        </w:rPr>
        <w:t>Etapa</w:t>
      </w:r>
      <w:r w:rsidR="004C65CE">
        <w:rPr>
          <w:sz w:val="28"/>
          <w:szCs w:val="28"/>
          <w:lang w:val="ro-RO"/>
        </w:rPr>
        <w:t xml:space="preserve"> de autorecenzare a început în data de 14 martie 2022 și a fost prelungită</w:t>
      </w:r>
      <w:r>
        <w:rPr>
          <w:sz w:val="28"/>
          <w:szCs w:val="28"/>
          <w:lang w:val="ro-RO"/>
        </w:rPr>
        <w:t>,</w:t>
      </w:r>
      <w:r w:rsidR="004C65CE">
        <w:rPr>
          <w:sz w:val="28"/>
          <w:szCs w:val="28"/>
          <w:lang w:val="ro-RO"/>
        </w:rPr>
        <w:t xml:space="preserve"> prin H</w:t>
      </w:r>
      <w:r>
        <w:rPr>
          <w:sz w:val="28"/>
          <w:szCs w:val="28"/>
          <w:lang w:val="ro-RO"/>
        </w:rPr>
        <w:t>otărâre a Comisiei Centrale de R</w:t>
      </w:r>
      <w:r w:rsidR="004C65CE">
        <w:rPr>
          <w:sz w:val="28"/>
          <w:szCs w:val="28"/>
          <w:lang w:val="ro-RO"/>
        </w:rPr>
        <w:t xml:space="preserve">ecensământ, până în data de </w:t>
      </w:r>
      <w:r w:rsidR="00755839">
        <w:rPr>
          <w:sz w:val="28"/>
          <w:szCs w:val="28"/>
          <w:lang w:val="ro-RO"/>
        </w:rPr>
        <w:t>27 mai 2022. În această perioadă</w:t>
      </w:r>
      <w:r w:rsidR="004C65CE">
        <w:rPr>
          <w:sz w:val="28"/>
          <w:szCs w:val="28"/>
          <w:lang w:val="ro-RO"/>
        </w:rPr>
        <w:t>, o</w:t>
      </w:r>
      <w:r>
        <w:rPr>
          <w:sz w:val="28"/>
          <w:szCs w:val="28"/>
          <w:lang w:val="ro-RO"/>
        </w:rPr>
        <w:t>rice persoană cu reședința</w:t>
      </w:r>
      <w:r w:rsidR="004C65CE">
        <w:rPr>
          <w:sz w:val="28"/>
          <w:szCs w:val="28"/>
          <w:lang w:val="ro-RO"/>
        </w:rPr>
        <w:t xml:space="preserve"> în județul Argeș a avut posibilitatea să completeze și să transmită online chestionarul propriu de rec</w:t>
      </w:r>
      <w:r>
        <w:rPr>
          <w:sz w:val="28"/>
          <w:szCs w:val="28"/>
          <w:lang w:val="ro-RO"/>
        </w:rPr>
        <w:t>ensământ, utilizând</w:t>
      </w:r>
      <w:r w:rsidR="004C65CE">
        <w:rPr>
          <w:sz w:val="28"/>
          <w:szCs w:val="28"/>
          <w:lang w:val="ro-RO"/>
        </w:rPr>
        <w:t xml:space="preserve"> PC-ul, tableta sau telefonul mobil, cu singura condiție ca acestea să aibă conexiune la internet. De asemenea, pentru a veni în sprijinul persoanelor care au dorit să se autorecenzeze și, fie nu au avut u</w:t>
      </w:r>
      <w:r>
        <w:rPr>
          <w:sz w:val="28"/>
          <w:szCs w:val="28"/>
          <w:lang w:val="ro-RO"/>
        </w:rPr>
        <w:t xml:space="preserve">n terminal informatic pentru a </w:t>
      </w:r>
      <w:r w:rsidR="004C65CE">
        <w:rPr>
          <w:sz w:val="28"/>
          <w:szCs w:val="28"/>
          <w:lang w:val="ro-RO"/>
        </w:rPr>
        <w:t>face acest lucru, fie nu au avut abilități de a utiliza acest termina</w:t>
      </w:r>
      <w:r>
        <w:rPr>
          <w:sz w:val="28"/>
          <w:szCs w:val="28"/>
          <w:lang w:val="ro-RO"/>
        </w:rPr>
        <w:t>l, au fost create, în cadrul tutu</w:t>
      </w:r>
      <w:r w:rsidR="004C65CE">
        <w:rPr>
          <w:sz w:val="28"/>
          <w:szCs w:val="28"/>
          <w:lang w:val="ro-RO"/>
        </w:rPr>
        <w:t xml:space="preserve">ror UAT-urilor din județ, puncte fixe unde au fost plasați recenzori pentru autorecenzare asistată, fiecare având la dispoziție </w:t>
      </w:r>
      <w:r>
        <w:rPr>
          <w:sz w:val="28"/>
          <w:szCs w:val="28"/>
          <w:lang w:val="ro-RO"/>
        </w:rPr>
        <w:t xml:space="preserve">câte </w:t>
      </w:r>
      <w:r w:rsidR="004C65CE">
        <w:rPr>
          <w:sz w:val="28"/>
          <w:szCs w:val="28"/>
          <w:lang w:val="ro-RO"/>
        </w:rPr>
        <w:t xml:space="preserve">două terminale informatice. În acest fel, în județul Argeș au existat </w:t>
      </w:r>
      <w:r w:rsidR="00CE6F75">
        <w:rPr>
          <w:sz w:val="28"/>
          <w:szCs w:val="28"/>
          <w:lang w:val="ro-RO"/>
        </w:rPr>
        <w:t>223 de locații în care populația a fost asistată pentru autorecenzare. Utilizând cele două modalități practice de autorecenzare, la nivelul județului Argeș s-a reușit completarea și transmiterea până la data de 27 mai 2022 a unui număr de 269666 chestionare valide pentru persoane, ceea ce a reprezentat 48,1% din totalul de</w:t>
      </w:r>
      <w:r w:rsidR="00397BFE">
        <w:rPr>
          <w:sz w:val="28"/>
          <w:szCs w:val="28"/>
          <w:lang w:val="ro-RO"/>
        </w:rPr>
        <w:t xml:space="preserve"> persoane estimat a fi recenzat, procent superior mediei naționale de 46,8%.</w:t>
      </w:r>
    </w:p>
    <w:p w:rsidR="00755839" w:rsidRDefault="00755839" w:rsidP="004C65CE">
      <w:pPr>
        <w:ind w:firstLine="720"/>
        <w:jc w:val="both"/>
        <w:rPr>
          <w:sz w:val="28"/>
          <w:szCs w:val="28"/>
          <w:lang w:val="ro-RO"/>
        </w:rPr>
      </w:pPr>
      <w:r>
        <w:rPr>
          <w:sz w:val="28"/>
          <w:szCs w:val="28"/>
          <w:lang w:val="ro-RO"/>
        </w:rPr>
        <w:t xml:space="preserve">Începând cu data de 3 iunie 2022 și până, beneficiind de două prelungiri succesive, în data de 31 iulie 2022, s-a desfășurat etapa de recenzare în teren. Toate persoanele care nu s-au autorecenzat, dar și cele care au completat și transmis chestionare invalide, au fost </w:t>
      </w:r>
      <w:r>
        <w:rPr>
          <w:sz w:val="28"/>
          <w:szCs w:val="28"/>
          <w:lang w:val="ro-RO"/>
        </w:rPr>
        <w:lastRenderedPageBreak/>
        <w:t>vizitate de recenzori. La finele acestei perioade, în județul Argeș au rezultat, din cele două etape, un număr de 558427 chestionare valide de persoane, respectiv 99,5% din totalul estimat ca populație stabilă a județului.</w:t>
      </w:r>
      <w:r w:rsidR="00845630">
        <w:rPr>
          <w:sz w:val="28"/>
          <w:szCs w:val="28"/>
          <w:lang w:val="ro-RO"/>
        </w:rPr>
        <w:t xml:space="preserve"> </w:t>
      </w:r>
    </w:p>
    <w:p w:rsidR="00F6479D" w:rsidRPr="00F6479D" w:rsidRDefault="00397BFE" w:rsidP="00755839">
      <w:pPr>
        <w:ind w:firstLine="720"/>
        <w:jc w:val="both"/>
        <w:rPr>
          <w:sz w:val="28"/>
          <w:szCs w:val="28"/>
          <w:lang w:val="it-IT"/>
        </w:rPr>
      </w:pPr>
      <w:r>
        <w:rPr>
          <w:sz w:val="28"/>
          <w:szCs w:val="28"/>
          <w:lang w:val="ro-RO"/>
        </w:rPr>
        <w:t xml:space="preserve"> </w:t>
      </w:r>
    </w:p>
    <w:p w:rsidR="00766E04" w:rsidRDefault="00766E04" w:rsidP="00766E04">
      <w:pPr>
        <w:rPr>
          <w:sz w:val="28"/>
          <w:szCs w:val="28"/>
          <w:lang w:val="it-IT"/>
        </w:rPr>
      </w:pPr>
    </w:p>
    <w:p w:rsidR="005760B8" w:rsidRPr="004D7334" w:rsidRDefault="004D7334" w:rsidP="00766E04">
      <w:pPr>
        <w:rPr>
          <w:b/>
          <w:i/>
          <w:sz w:val="32"/>
          <w:szCs w:val="32"/>
          <w:u w:val="single"/>
          <w:lang w:val="ro-RO"/>
        </w:rPr>
      </w:pPr>
      <w:r w:rsidRPr="004D7334">
        <w:rPr>
          <w:b/>
          <w:i/>
          <w:sz w:val="32"/>
          <w:szCs w:val="32"/>
          <w:u w:val="single"/>
          <w:lang w:val="it-IT"/>
        </w:rPr>
        <w:t>Nevoi și dificultăți în activitatea curentă</w:t>
      </w:r>
    </w:p>
    <w:p w:rsidR="005760B8" w:rsidRDefault="005760B8" w:rsidP="00766E04">
      <w:pPr>
        <w:rPr>
          <w:sz w:val="28"/>
          <w:szCs w:val="28"/>
          <w:lang w:val="it-IT"/>
        </w:rPr>
      </w:pPr>
    </w:p>
    <w:p w:rsidR="004D7334" w:rsidRPr="005563C5" w:rsidRDefault="004D7334" w:rsidP="00766E04">
      <w:pPr>
        <w:rPr>
          <w:sz w:val="28"/>
          <w:szCs w:val="28"/>
          <w:lang w:val="it-IT"/>
        </w:rPr>
      </w:pPr>
    </w:p>
    <w:p w:rsidR="004D7334" w:rsidRDefault="004D7334" w:rsidP="004D7334">
      <w:pPr>
        <w:jc w:val="both"/>
        <w:rPr>
          <w:sz w:val="28"/>
          <w:szCs w:val="28"/>
          <w:lang w:val="it-IT"/>
        </w:rPr>
      </w:pPr>
      <w:r>
        <w:rPr>
          <w:sz w:val="28"/>
          <w:szCs w:val="28"/>
          <w:lang w:val="it-IT"/>
        </w:rPr>
        <w:tab/>
        <w:t>Derularea activităților curente, prevăzute în Programul Statistic Național Anual, se desfășoară normal, conform graficului stabilit. Singurele elemente perturbatoare sunt constituite de reticența și, în unele cazuri, refuzul repondenților, fie ei persoane juridice sau persoane fizice. Există situații, în special în cazul agenților economici mici, fără personal cu pregătire economică, când este foarte dificil să poată conștientiza importanța furnizării datelor statistice.</w:t>
      </w:r>
      <w:r w:rsidR="007A1A40">
        <w:rPr>
          <w:sz w:val="28"/>
          <w:szCs w:val="28"/>
          <w:lang w:val="it-IT"/>
        </w:rPr>
        <w:t xml:space="preserve"> De asemenea diferențele între tipurile de formulare de raportare utilizate de diverse instituții publice, precum și termenele diferite de raportare utilizate conduc la confuzii și la ideea unor dublări ale acestor raportări.</w:t>
      </w:r>
      <w:r>
        <w:rPr>
          <w:sz w:val="28"/>
          <w:szCs w:val="28"/>
          <w:lang w:val="it-IT"/>
        </w:rPr>
        <w:t xml:space="preserve"> În cazul persoanelor fizice, situația este generată în special de neînțelegerea de către </w:t>
      </w:r>
      <w:r w:rsidR="007A1A40">
        <w:rPr>
          <w:sz w:val="28"/>
          <w:szCs w:val="28"/>
          <w:lang w:val="it-IT"/>
        </w:rPr>
        <w:t>acestea</w:t>
      </w:r>
      <w:r>
        <w:rPr>
          <w:sz w:val="28"/>
          <w:szCs w:val="28"/>
          <w:lang w:val="it-IT"/>
        </w:rPr>
        <w:t xml:space="preserve"> a prevederilor legislative care reglementează accesarea și prelucrarea datelor cu caracter personal în raport cu datele care au caracter strict statistic.</w:t>
      </w:r>
      <w:r w:rsidR="007A1A40">
        <w:rPr>
          <w:sz w:val="28"/>
          <w:szCs w:val="28"/>
          <w:lang w:val="it-IT"/>
        </w:rPr>
        <w:t xml:space="preserve"> Cu toate acestea, procentul de nonrăspunsuri la eșantioanele utilizate se situează la valori sub limitele care garantează calitatea datelor rezultate.</w:t>
      </w:r>
    </w:p>
    <w:p w:rsidR="007A1A40" w:rsidRDefault="007A1A40" w:rsidP="004D7334">
      <w:pPr>
        <w:jc w:val="both"/>
        <w:rPr>
          <w:sz w:val="28"/>
          <w:szCs w:val="28"/>
          <w:lang w:val="it-IT"/>
        </w:rPr>
      </w:pPr>
    </w:p>
    <w:p w:rsidR="007A1A40" w:rsidRPr="007A1A40" w:rsidRDefault="007A1A40" w:rsidP="004D7334">
      <w:pPr>
        <w:jc w:val="both"/>
        <w:rPr>
          <w:b/>
          <w:i/>
          <w:sz w:val="32"/>
          <w:szCs w:val="32"/>
          <w:u w:val="single"/>
          <w:lang w:val="it-IT"/>
        </w:rPr>
      </w:pPr>
      <w:r w:rsidRPr="007A1A40">
        <w:rPr>
          <w:b/>
          <w:i/>
          <w:sz w:val="32"/>
          <w:szCs w:val="32"/>
          <w:u w:val="single"/>
          <w:lang w:val="it-IT"/>
        </w:rPr>
        <w:t>Măsuri propuse în vederea îmbunătățirii activității</w:t>
      </w:r>
    </w:p>
    <w:p w:rsidR="007A1A40" w:rsidRDefault="007A1A40" w:rsidP="004D7334">
      <w:pPr>
        <w:jc w:val="both"/>
        <w:rPr>
          <w:sz w:val="28"/>
          <w:szCs w:val="28"/>
          <w:lang w:val="it-IT"/>
        </w:rPr>
      </w:pPr>
    </w:p>
    <w:p w:rsidR="004D7334" w:rsidRDefault="004D7334" w:rsidP="004D7334">
      <w:pPr>
        <w:tabs>
          <w:tab w:val="left" w:pos="3855"/>
        </w:tabs>
        <w:jc w:val="both"/>
        <w:rPr>
          <w:sz w:val="28"/>
          <w:szCs w:val="28"/>
          <w:lang w:val="it-IT"/>
        </w:rPr>
      </w:pPr>
    </w:p>
    <w:p w:rsidR="004D7334" w:rsidRDefault="007A1A40" w:rsidP="007A1A40">
      <w:pPr>
        <w:jc w:val="both"/>
        <w:rPr>
          <w:sz w:val="28"/>
          <w:szCs w:val="28"/>
          <w:lang w:val="it-IT"/>
        </w:rPr>
      </w:pPr>
      <w:r>
        <w:rPr>
          <w:sz w:val="28"/>
          <w:szCs w:val="28"/>
          <w:lang w:val="it-IT"/>
        </w:rPr>
        <w:tab/>
        <w:t>Pentru a mări gradul de colectare a datelor, în același timp cu păstrarea calității acestora</w:t>
      </w:r>
      <w:r w:rsidR="00A843C1">
        <w:rPr>
          <w:sz w:val="28"/>
          <w:szCs w:val="28"/>
          <w:lang w:val="it-IT"/>
        </w:rPr>
        <w:t>,</w:t>
      </w:r>
      <w:r>
        <w:rPr>
          <w:sz w:val="28"/>
          <w:szCs w:val="28"/>
          <w:lang w:val="it-IT"/>
        </w:rPr>
        <w:t xml:space="preserve"> sunt elaborate și transmise periodic către furnizorii de date chestionare de satisfacție, care </w:t>
      </w:r>
      <w:r w:rsidR="00A843C1">
        <w:rPr>
          <w:sz w:val="28"/>
          <w:szCs w:val="28"/>
          <w:lang w:val="it-IT"/>
        </w:rPr>
        <w:t xml:space="preserve">permit preluarea de propuneri și transmiterea lor către Institutul Național de Statistică în vederea implementării. </w:t>
      </w:r>
    </w:p>
    <w:p w:rsidR="00A843C1" w:rsidRDefault="00A843C1" w:rsidP="00FE18C2">
      <w:pPr>
        <w:jc w:val="both"/>
        <w:rPr>
          <w:sz w:val="28"/>
          <w:szCs w:val="28"/>
          <w:lang w:val="it-IT"/>
        </w:rPr>
      </w:pPr>
      <w:r>
        <w:rPr>
          <w:sz w:val="28"/>
          <w:szCs w:val="28"/>
          <w:lang w:val="it-IT"/>
        </w:rPr>
        <w:tab/>
        <w:t>De asemenea, se află în procedură de elaborare o nouă lege a statisticii oficiale, care să instituie o mai bună gestionare a datelor disponibile în diversele surse administrative existente în diverse instituții publice, astfel încât utilizarea acestora să determine scăderea presiunii asupra furnizorului de date statistice.</w:t>
      </w:r>
    </w:p>
    <w:p w:rsidR="004D7334" w:rsidRDefault="004D7334" w:rsidP="004D7334">
      <w:pPr>
        <w:tabs>
          <w:tab w:val="left" w:pos="3855"/>
        </w:tabs>
        <w:jc w:val="both"/>
        <w:rPr>
          <w:sz w:val="28"/>
          <w:szCs w:val="28"/>
          <w:lang w:val="it-IT"/>
        </w:rPr>
      </w:pPr>
    </w:p>
    <w:p w:rsidR="004D7334" w:rsidRDefault="004D7334" w:rsidP="00766E04">
      <w:pPr>
        <w:tabs>
          <w:tab w:val="left" w:pos="3855"/>
        </w:tabs>
        <w:jc w:val="center"/>
        <w:rPr>
          <w:sz w:val="28"/>
          <w:szCs w:val="28"/>
          <w:lang w:val="it-IT"/>
        </w:rPr>
      </w:pPr>
    </w:p>
    <w:p w:rsidR="00A843C1" w:rsidRDefault="00A843C1" w:rsidP="00766E04">
      <w:pPr>
        <w:tabs>
          <w:tab w:val="left" w:pos="3855"/>
        </w:tabs>
        <w:jc w:val="center"/>
        <w:rPr>
          <w:sz w:val="28"/>
          <w:szCs w:val="28"/>
          <w:lang w:val="it-IT"/>
        </w:rPr>
      </w:pPr>
    </w:p>
    <w:p w:rsidR="00A843C1" w:rsidRDefault="00A843C1" w:rsidP="00766E04">
      <w:pPr>
        <w:tabs>
          <w:tab w:val="left" w:pos="3855"/>
        </w:tabs>
        <w:jc w:val="center"/>
        <w:rPr>
          <w:sz w:val="28"/>
          <w:szCs w:val="28"/>
          <w:lang w:val="it-IT"/>
        </w:rPr>
      </w:pPr>
    </w:p>
    <w:sectPr w:rsidR="00A843C1" w:rsidSect="005563C5">
      <w:footerReference w:type="default" r:id="rId9"/>
      <w:pgSz w:w="11907" w:h="16840" w:code="9"/>
      <w:pgMar w:top="680" w:right="680" w:bottom="680" w:left="127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D61" w:rsidRDefault="00695D61" w:rsidP="00885209">
      <w:r>
        <w:separator/>
      </w:r>
    </w:p>
  </w:endnote>
  <w:endnote w:type="continuationSeparator" w:id="0">
    <w:p w:rsidR="00695D61" w:rsidRDefault="00695D61" w:rsidP="0088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081617"/>
      <w:docPartObj>
        <w:docPartGallery w:val="Page Numbers (Bottom of Page)"/>
        <w:docPartUnique/>
      </w:docPartObj>
    </w:sdtPr>
    <w:sdtEndPr>
      <w:rPr>
        <w:noProof/>
      </w:rPr>
    </w:sdtEndPr>
    <w:sdtContent>
      <w:p w:rsidR="00845630" w:rsidRDefault="00845630">
        <w:pPr>
          <w:pStyle w:val="Footer"/>
          <w:jc w:val="center"/>
        </w:pPr>
        <w:r>
          <w:fldChar w:fldCharType="begin"/>
        </w:r>
        <w:r>
          <w:instrText xml:space="preserve"> PAGE   \* MERGEFORMAT </w:instrText>
        </w:r>
        <w:r>
          <w:fldChar w:fldCharType="separate"/>
        </w:r>
        <w:r w:rsidR="008D2F15">
          <w:rPr>
            <w:noProof/>
          </w:rPr>
          <w:t>14</w:t>
        </w:r>
        <w:r>
          <w:rPr>
            <w:noProof/>
          </w:rPr>
          <w:fldChar w:fldCharType="end"/>
        </w:r>
      </w:p>
    </w:sdtContent>
  </w:sdt>
  <w:p w:rsidR="00845630" w:rsidRDefault="008456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D61" w:rsidRDefault="00695D61" w:rsidP="00885209">
      <w:r>
        <w:separator/>
      </w:r>
    </w:p>
  </w:footnote>
  <w:footnote w:type="continuationSeparator" w:id="0">
    <w:p w:rsidR="00695D61" w:rsidRDefault="00695D61" w:rsidP="008852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E6C"/>
    <w:multiLevelType w:val="hybridMultilevel"/>
    <w:tmpl w:val="56F6B558"/>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15:restartNumberingAfterBreak="0">
    <w:nsid w:val="013E4BE8"/>
    <w:multiLevelType w:val="hybridMultilevel"/>
    <w:tmpl w:val="AE86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36D2"/>
    <w:multiLevelType w:val="hybridMultilevel"/>
    <w:tmpl w:val="82C8C1DC"/>
    <w:lvl w:ilvl="0" w:tplc="C5A0049A">
      <w:start w:val="1"/>
      <w:numFmt w:val="bullet"/>
      <w:lvlText w:val=""/>
      <w:lvlJc w:val="left"/>
      <w:pPr>
        <w:tabs>
          <w:tab w:val="num" w:pos="1560"/>
        </w:tabs>
        <w:ind w:left="1560" w:hanging="360"/>
      </w:pPr>
      <w:rPr>
        <w:rFonts w:ascii="Symbol" w:hAnsi="Symbol" w:hint="default"/>
        <w:sz w:val="28"/>
        <w:szCs w:val="28"/>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2D0E2B56"/>
    <w:multiLevelType w:val="hybridMultilevel"/>
    <w:tmpl w:val="9A2AB9C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4D5A2CE0"/>
    <w:multiLevelType w:val="hybridMultilevel"/>
    <w:tmpl w:val="7B70DBE6"/>
    <w:lvl w:ilvl="0" w:tplc="077EC6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F3374"/>
    <w:multiLevelType w:val="singleLevel"/>
    <w:tmpl w:val="69CC20D6"/>
    <w:lvl w:ilvl="0">
      <w:start w:val="1"/>
      <w:numFmt w:val="lowerLetter"/>
      <w:lvlText w:val="%1)"/>
      <w:legacy w:legacy="1" w:legacySpace="0" w:legacyIndent="360"/>
      <w:lvlJc w:val="left"/>
      <w:pPr>
        <w:ind w:left="1080" w:hanging="360"/>
      </w:pPr>
    </w:lvl>
  </w:abstractNum>
  <w:abstractNum w:abstractNumId="6" w15:restartNumberingAfterBreak="0">
    <w:nsid w:val="5FD656CA"/>
    <w:multiLevelType w:val="hybridMultilevel"/>
    <w:tmpl w:val="84728280"/>
    <w:lvl w:ilvl="0" w:tplc="656E9A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73D5D"/>
    <w:multiLevelType w:val="hybridMultilevel"/>
    <w:tmpl w:val="C554C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F55D3"/>
    <w:multiLevelType w:val="hybridMultilevel"/>
    <w:tmpl w:val="A4746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904584"/>
    <w:multiLevelType w:val="hybridMultilevel"/>
    <w:tmpl w:val="19AC333A"/>
    <w:lvl w:ilvl="0" w:tplc="3C18CC0A">
      <w:start w:val="1"/>
      <w:numFmt w:val="bullet"/>
      <w:lvlText w:val=""/>
      <w:lvlJc w:val="left"/>
      <w:pPr>
        <w:tabs>
          <w:tab w:val="num" w:pos="1560"/>
        </w:tabs>
        <w:ind w:left="1560" w:hanging="360"/>
      </w:pPr>
      <w:rPr>
        <w:rFonts w:ascii="Symbol" w:hAnsi="Symbol" w:hint="default"/>
        <w:color w:val="auto"/>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790C1503"/>
    <w:multiLevelType w:val="hybridMultilevel"/>
    <w:tmpl w:val="2002437A"/>
    <w:lvl w:ilvl="0" w:tplc="F92228E4">
      <w:start w:val="2"/>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7CBE6B2D"/>
    <w:multiLevelType w:val="hybridMultilevel"/>
    <w:tmpl w:val="806E69F8"/>
    <w:lvl w:ilvl="0" w:tplc="C2885334">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2" w15:restartNumberingAfterBreak="0">
    <w:nsid w:val="7E111E4E"/>
    <w:multiLevelType w:val="hybridMultilevel"/>
    <w:tmpl w:val="75B2A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lvl w:ilvl="0">
        <w:start w:val="2"/>
        <w:numFmt w:val="lowerLetter"/>
        <w:lvlText w:val="%1)"/>
        <w:legacy w:legacy="1" w:legacySpace="0" w:legacyIndent="360"/>
        <w:lvlJc w:val="left"/>
        <w:pPr>
          <w:ind w:left="1080" w:hanging="360"/>
        </w:pPr>
      </w:lvl>
    </w:lvlOverride>
  </w:num>
  <w:num w:numId="3">
    <w:abstractNumId w:val="5"/>
    <w:lvlOverride w:ilvl="0">
      <w:lvl w:ilvl="0">
        <w:start w:val="3"/>
        <w:numFmt w:val="lowerLetter"/>
        <w:lvlText w:val="%1)"/>
        <w:legacy w:legacy="1" w:legacySpace="0" w:legacyIndent="360"/>
        <w:lvlJc w:val="left"/>
        <w:pPr>
          <w:ind w:left="1080" w:hanging="360"/>
        </w:pPr>
      </w:lvl>
    </w:lvlOverride>
  </w:num>
  <w:num w:numId="4">
    <w:abstractNumId w:val="5"/>
    <w:lvlOverride w:ilvl="0">
      <w:lvl w:ilvl="0">
        <w:start w:val="4"/>
        <w:numFmt w:val="lowerLetter"/>
        <w:lvlText w:val="%1)"/>
        <w:legacy w:legacy="1" w:legacySpace="0" w:legacyIndent="360"/>
        <w:lvlJc w:val="left"/>
        <w:pPr>
          <w:ind w:left="1080" w:hanging="360"/>
        </w:pPr>
      </w:lvl>
    </w:lvlOverride>
  </w:num>
  <w:num w:numId="5">
    <w:abstractNumId w:val="5"/>
    <w:lvlOverride w:ilvl="0">
      <w:lvl w:ilvl="0">
        <w:start w:val="6"/>
        <w:numFmt w:val="lowerLetter"/>
        <w:lvlText w:val="%1)"/>
        <w:legacy w:legacy="1" w:legacySpace="0" w:legacyIndent="360"/>
        <w:lvlJc w:val="left"/>
        <w:pPr>
          <w:ind w:left="1080" w:hanging="360"/>
        </w:pPr>
      </w:lvl>
    </w:lvlOverride>
  </w:num>
  <w:num w:numId="6">
    <w:abstractNumId w:val="5"/>
    <w:lvlOverride w:ilvl="0">
      <w:lvl w:ilvl="0">
        <w:start w:val="7"/>
        <w:numFmt w:val="lowerLetter"/>
        <w:lvlText w:val="%1)"/>
        <w:legacy w:legacy="1" w:legacySpace="0" w:legacyIndent="360"/>
        <w:lvlJc w:val="left"/>
        <w:pPr>
          <w:ind w:left="1080" w:hanging="360"/>
        </w:pPr>
      </w:lvl>
    </w:lvlOverride>
  </w:num>
  <w:num w:numId="7">
    <w:abstractNumId w:val="5"/>
    <w:lvlOverride w:ilvl="0">
      <w:lvl w:ilvl="0">
        <w:start w:val="8"/>
        <w:numFmt w:val="lowerLetter"/>
        <w:lvlText w:val="%1)"/>
        <w:legacy w:legacy="1" w:legacySpace="0" w:legacyIndent="360"/>
        <w:lvlJc w:val="left"/>
        <w:pPr>
          <w:ind w:left="1080" w:hanging="360"/>
        </w:pPr>
      </w:lvl>
    </w:lvlOverride>
  </w:num>
  <w:num w:numId="8">
    <w:abstractNumId w:val="5"/>
    <w:lvlOverride w:ilvl="0">
      <w:lvl w:ilvl="0">
        <w:start w:val="9"/>
        <w:numFmt w:val="lowerLetter"/>
        <w:lvlText w:val="%1)"/>
        <w:legacy w:legacy="1" w:legacySpace="0" w:legacyIndent="360"/>
        <w:lvlJc w:val="left"/>
        <w:pPr>
          <w:ind w:left="1080" w:hanging="360"/>
        </w:pPr>
      </w:lvl>
    </w:lvlOverride>
  </w:num>
  <w:num w:numId="9">
    <w:abstractNumId w:val="5"/>
    <w:lvlOverride w:ilvl="0">
      <w:lvl w:ilvl="0">
        <w:start w:val="10"/>
        <w:numFmt w:val="lowerLetter"/>
        <w:lvlText w:val="%1)"/>
        <w:legacy w:legacy="1" w:legacySpace="0" w:legacyIndent="360"/>
        <w:lvlJc w:val="left"/>
        <w:pPr>
          <w:ind w:left="1080" w:hanging="360"/>
        </w:pPr>
      </w:lvl>
    </w:lvlOverride>
  </w:num>
  <w:num w:numId="10">
    <w:abstractNumId w:val="5"/>
    <w:lvlOverride w:ilvl="0">
      <w:lvl w:ilvl="0">
        <w:start w:val="11"/>
        <w:numFmt w:val="lowerLetter"/>
        <w:lvlText w:val="%1)"/>
        <w:legacy w:legacy="1" w:legacySpace="0" w:legacyIndent="360"/>
        <w:lvlJc w:val="left"/>
        <w:pPr>
          <w:ind w:left="1080" w:hanging="360"/>
        </w:pPr>
      </w:lvl>
    </w:lvlOverride>
  </w:num>
  <w:num w:numId="11">
    <w:abstractNumId w:val="11"/>
  </w:num>
  <w:num w:numId="12">
    <w:abstractNumId w:val="10"/>
  </w:num>
  <w:num w:numId="13">
    <w:abstractNumId w:val="2"/>
  </w:num>
  <w:num w:numId="14">
    <w:abstractNumId w:val="12"/>
  </w:num>
  <w:num w:numId="15">
    <w:abstractNumId w:val="0"/>
  </w:num>
  <w:num w:numId="16">
    <w:abstractNumId w:val="4"/>
  </w:num>
  <w:num w:numId="17">
    <w:abstractNumId w:val="3"/>
  </w:num>
  <w:num w:numId="18">
    <w:abstractNumId w:val="9"/>
  </w:num>
  <w:num w:numId="19">
    <w:abstractNumId w:val="8"/>
  </w:num>
  <w:num w:numId="20">
    <w:abstractNumId w:val="1"/>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34"/>
    <w:rsid w:val="000002EB"/>
    <w:rsid w:val="00004CD2"/>
    <w:rsid w:val="00011100"/>
    <w:rsid w:val="00026CC9"/>
    <w:rsid w:val="0002754C"/>
    <w:rsid w:val="00031F51"/>
    <w:rsid w:val="00035DA1"/>
    <w:rsid w:val="00036254"/>
    <w:rsid w:val="000417EF"/>
    <w:rsid w:val="000455BB"/>
    <w:rsid w:val="00046D4A"/>
    <w:rsid w:val="00046D9C"/>
    <w:rsid w:val="0004704E"/>
    <w:rsid w:val="0005109D"/>
    <w:rsid w:val="00051937"/>
    <w:rsid w:val="00054E4A"/>
    <w:rsid w:val="0005521B"/>
    <w:rsid w:val="000571D2"/>
    <w:rsid w:val="00057B27"/>
    <w:rsid w:val="00061291"/>
    <w:rsid w:val="00061AAD"/>
    <w:rsid w:val="000631FA"/>
    <w:rsid w:val="00066CB0"/>
    <w:rsid w:val="000710C6"/>
    <w:rsid w:val="00073EA6"/>
    <w:rsid w:val="00077A22"/>
    <w:rsid w:val="00080210"/>
    <w:rsid w:val="000802CD"/>
    <w:rsid w:val="00080670"/>
    <w:rsid w:val="00081E77"/>
    <w:rsid w:val="0008415E"/>
    <w:rsid w:val="00087C29"/>
    <w:rsid w:val="00092628"/>
    <w:rsid w:val="00095E42"/>
    <w:rsid w:val="00096D1C"/>
    <w:rsid w:val="000972DF"/>
    <w:rsid w:val="000A0A52"/>
    <w:rsid w:val="000A0EEF"/>
    <w:rsid w:val="000A2B18"/>
    <w:rsid w:val="000A3B42"/>
    <w:rsid w:val="000A468B"/>
    <w:rsid w:val="000A4F4B"/>
    <w:rsid w:val="000A5823"/>
    <w:rsid w:val="000A5AF4"/>
    <w:rsid w:val="000A7D30"/>
    <w:rsid w:val="000B3712"/>
    <w:rsid w:val="000B7DA5"/>
    <w:rsid w:val="000C028B"/>
    <w:rsid w:val="000C17AB"/>
    <w:rsid w:val="000C360A"/>
    <w:rsid w:val="000C433C"/>
    <w:rsid w:val="000C5ABD"/>
    <w:rsid w:val="000C5C2A"/>
    <w:rsid w:val="000D4797"/>
    <w:rsid w:val="000D4F23"/>
    <w:rsid w:val="000E184F"/>
    <w:rsid w:val="000E1C85"/>
    <w:rsid w:val="000E736B"/>
    <w:rsid w:val="000F5155"/>
    <w:rsid w:val="000F6730"/>
    <w:rsid w:val="001002B8"/>
    <w:rsid w:val="00107114"/>
    <w:rsid w:val="001107EF"/>
    <w:rsid w:val="001146F0"/>
    <w:rsid w:val="00114D65"/>
    <w:rsid w:val="00114FB9"/>
    <w:rsid w:val="00121964"/>
    <w:rsid w:val="001220F3"/>
    <w:rsid w:val="00124EFB"/>
    <w:rsid w:val="0013067A"/>
    <w:rsid w:val="00131687"/>
    <w:rsid w:val="00135310"/>
    <w:rsid w:val="0013583C"/>
    <w:rsid w:val="00135B65"/>
    <w:rsid w:val="00137E87"/>
    <w:rsid w:val="00140496"/>
    <w:rsid w:val="00144D02"/>
    <w:rsid w:val="00145D88"/>
    <w:rsid w:val="00147A7E"/>
    <w:rsid w:val="001500D2"/>
    <w:rsid w:val="001519BB"/>
    <w:rsid w:val="00152C63"/>
    <w:rsid w:val="00154328"/>
    <w:rsid w:val="00154E1C"/>
    <w:rsid w:val="0016202B"/>
    <w:rsid w:val="00165C99"/>
    <w:rsid w:val="001729D3"/>
    <w:rsid w:val="001770C3"/>
    <w:rsid w:val="00181794"/>
    <w:rsid w:val="00184F5E"/>
    <w:rsid w:val="00185F31"/>
    <w:rsid w:val="00186231"/>
    <w:rsid w:val="00197E75"/>
    <w:rsid w:val="001A1BD7"/>
    <w:rsid w:val="001B17B4"/>
    <w:rsid w:val="001B359D"/>
    <w:rsid w:val="001B60CF"/>
    <w:rsid w:val="001C060B"/>
    <w:rsid w:val="001C1918"/>
    <w:rsid w:val="001C1C92"/>
    <w:rsid w:val="001C2A4E"/>
    <w:rsid w:val="001C66EC"/>
    <w:rsid w:val="001D0A8B"/>
    <w:rsid w:val="001D1D61"/>
    <w:rsid w:val="001D2871"/>
    <w:rsid w:val="001D4656"/>
    <w:rsid w:val="001D5CBB"/>
    <w:rsid w:val="001E23F2"/>
    <w:rsid w:val="001E3094"/>
    <w:rsid w:val="001E5AB2"/>
    <w:rsid w:val="001F02CB"/>
    <w:rsid w:val="001F241B"/>
    <w:rsid w:val="001F6744"/>
    <w:rsid w:val="002059CD"/>
    <w:rsid w:val="002071D1"/>
    <w:rsid w:val="00207B1E"/>
    <w:rsid w:val="00210502"/>
    <w:rsid w:val="0021301B"/>
    <w:rsid w:val="002141A6"/>
    <w:rsid w:val="002170F5"/>
    <w:rsid w:val="0021774A"/>
    <w:rsid w:val="00217ABD"/>
    <w:rsid w:val="002265EA"/>
    <w:rsid w:val="00226D89"/>
    <w:rsid w:val="00226FC9"/>
    <w:rsid w:val="00245098"/>
    <w:rsid w:val="002508F6"/>
    <w:rsid w:val="00252D21"/>
    <w:rsid w:val="002531B2"/>
    <w:rsid w:val="00254824"/>
    <w:rsid w:val="00256C9C"/>
    <w:rsid w:val="002651D3"/>
    <w:rsid w:val="00271ECA"/>
    <w:rsid w:val="00272492"/>
    <w:rsid w:val="00275B33"/>
    <w:rsid w:val="00275FD5"/>
    <w:rsid w:val="00277A57"/>
    <w:rsid w:val="002823C0"/>
    <w:rsid w:val="00284CA0"/>
    <w:rsid w:val="00285E92"/>
    <w:rsid w:val="00286FB3"/>
    <w:rsid w:val="00290624"/>
    <w:rsid w:val="00294572"/>
    <w:rsid w:val="002A11D0"/>
    <w:rsid w:val="002A1498"/>
    <w:rsid w:val="002B0615"/>
    <w:rsid w:val="002B2269"/>
    <w:rsid w:val="002B5653"/>
    <w:rsid w:val="002B7186"/>
    <w:rsid w:val="002C12B7"/>
    <w:rsid w:val="002D2AD0"/>
    <w:rsid w:val="002D795F"/>
    <w:rsid w:val="002E2F35"/>
    <w:rsid w:val="002E56B6"/>
    <w:rsid w:val="002E72BF"/>
    <w:rsid w:val="002E7327"/>
    <w:rsid w:val="002F00F0"/>
    <w:rsid w:val="002F09B3"/>
    <w:rsid w:val="002F18BD"/>
    <w:rsid w:val="002F22EE"/>
    <w:rsid w:val="002F3FC8"/>
    <w:rsid w:val="00301D9F"/>
    <w:rsid w:val="00302BC7"/>
    <w:rsid w:val="003035FD"/>
    <w:rsid w:val="00307EFE"/>
    <w:rsid w:val="00310A8F"/>
    <w:rsid w:val="00315CED"/>
    <w:rsid w:val="003162BA"/>
    <w:rsid w:val="003169FE"/>
    <w:rsid w:val="00317709"/>
    <w:rsid w:val="003247AF"/>
    <w:rsid w:val="00327A42"/>
    <w:rsid w:val="00330016"/>
    <w:rsid w:val="0033091C"/>
    <w:rsid w:val="00331E07"/>
    <w:rsid w:val="00333017"/>
    <w:rsid w:val="0033302A"/>
    <w:rsid w:val="00333435"/>
    <w:rsid w:val="00333458"/>
    <w:rsid w:val="00334F22"/>
    <w:rsid w:val="003366F9"/>
    <w:rsid w:val="00337574"/>
    <w:rsid w:val="00340F9F"/>
    <w:rsid w:val="00341BA9"/>
    <w:rsid w:val="00343D41"/>
    <w:rsid w:val="00346173"/>
    <w:rsid w:val="00347975"/>
    <w:rsid w:val="0035385D"/>
    <w:rsid w:val="00355480"/>
    <w:rsid w:val="00357084"/>
    <w:rsid w:val="003602E6"/>
    <w:rsid w:val="00362A78"/>
    <w:rsid w:val="0036437D"/>
    <w:rsid w:val="003674B1"/>
    <w:rsid w:val="0037287A"/>
    <w:rsid w:val="0037288B"/>
    <w:rsid w:val="003852D9"/>
    <w:rsid w:val="003879F0"/>
    <w:rsid w:val="0039048F"/>
    <w:rsid w:val="00393897"/>
    <w:rsid w:val="00397BFE"/>
    <w:rsid w:val="003A4CCE"/>
    <w:rsid w:val="003A7039"/>
    <w:rsid w:val="003B624F"/>
    <w:rsid w:val="003B7521"/>
    <w:rsid w:val="003C1B7F"/>
    <w:rsid w:val="003C1EE0"/>
    <w:rsid w:val="003C50C0"/>
    <w:rsid w:val="003C61CC"/>
    <w:rsid w:val="003C7231"/>
    <w:rsid w:val="003D0DAD"/>
    <w:rsid w:val="003D1DA0"/>
    <w:rsid w:val="003D1F22"/>
    <w:rsid w:val="003D3927"/>
    <w:rsid w:val="003D3A33"/>
    <w:rsid w:val="003D3D7C"/>
    <w:rsid w:val="003D799B"/>
    <w:rsid w:val="003F004D"/>
    <w:rsid w:val="003F2CC0"/>
    <w:rsid w:val="004005BB"/>
    <w:rsid w:val="004008A0"/>
    <w:rsid w:val="0041015C"/>
    <w:rsid w:val="00410B70"/>
    <w:rsid w:val="004128F3"/>
    <w:rsid w:val="004170A9"/>
    <w:rsid w:val="00417450"/>
    <w:rsid w:val="00420362"/>
    <w:rsid w:val="00421071"/>
    <w:rsid w:val="00421E70"/>
    <w:rsid w:val="0042280B"/>
    <w:rsid w:val="0042309C"/>
    <w:rsid w:val="00423809"/>
    <w:rsid w:val="0043266E"/>
    <w:rsid w:val="004360BB"/>
    <w:rsid w:val="00441690"/>
    <w:rsid w:val="004432BC"/>
    <w:rsid w:val="0044379F"/>
    <w:rsid w:val="00447E16"/>
    <w:rsid w:val="00450228"/>
    <w:rsid w:val="00451F17"/>
    <w:rsid w:val="0045225E"/>
    <w:rsid w:val="0045421B"/>
    <w:rsid w:val="0045472A"/>
    <w:rsid w:val="00455E05"/>
    <w:rsid w:val="0045630B"/>
    <w:rsid w:val="00460755"/>
    <w:rsid w:val="004613D2"/>
    <w:rsid w:val="0046304E"/>
    <w:rsid w:val="004738FF"/>
    <w:rsid w:val="00474591"/>
    <w:rsid w:val="004827E1"/>
    <w:rsid w:val="00484119"/>
    <w:rsid w:val="00485151"/>
    <w:rsid w:val="004945F9"/>
    <w:rsid w:val="00496E96"/>
    <w:rsid w:val="004A1466"/>
    <w:rsid w:val="004A351E"/>
    <w:rsid w:val="004A36E6"/>
    <w:rsid w:val="004A571F"/>
    <w:rsid w:val="004A7D5A"/>
    <w:rsid w:val="004B0AE0"/>
    <w:rsid w:val="004B20D0"/>
    <w:rsid w:val="004B5AB4"/>
    <w:rsid w:val="004B7908"/>
    <w:rsid w:val="004C08B7"/>
    <w:rsid w:val="004C1387"/>
    <w:rsid w:val="004C2819"/>
    <w:rsid w:val="004C5820"/>
    <w:rsid w:val="004C65CE"/>
    <w:rsid w:val="004C670B"/>
    <w:rsid w:val="004C71B3"/>
    <w:rsid w:val="004C7C47"/>
    <w:rsid w:val="004D21A6"/>
    <w:rsid w:val="004D4B09"/>
    <w:rsid w:val="004D55A9"/>
    <w:rsid w:val="004D7334"/>
    <w:rsid w:val="004E2B68"/>
    <w:rsid w:val="004E5032"/>
    <w:rsid w:val="004E749A"/>
    <w:rsid w:val="004F0B34"/>
    <w:rsid w:val="004F6926"/>
    <w:rsid w:val="004F7AD5"/>
    <w:rsid w:val="00500757"/>
    <w:rsid w:val="00504372"/>
    <w:rsid w:val="0050520B"/>
    <w:rsid w:val="00506379"/>
    <w:rsid w:val="005113C2"/>
    <w:rsid w:val="00511AD5"/>
    <w:rsid w:val="00511DB6"/>
    <w:rsid w:val="00517874"/>
    <w:rsid w:val="00520633"/>
    <w:rsid w:val="005248C2"/>
    <w:rsid w:val="0052496F"/>
    <w:rsid w:val="00525D3B"/>
    <w:rsid w:val="00525FFA"/>
    <w:rsid w:val="005260C2"/>
    <w:rsid w:val="005305BC"/>
    <w:rsid w:val="00532EAD"/>
    <w:rsid w:val="00534FD8"/>
    <w:rsid w:val="005361DB"/>
    <w:rsid w:val="0053652E"/>
    <w:rsid w:val="00536A64"/>
    <w:rsid w:val="0054080C"/>
    <w:rsid w:val="005423F9"/>
    <w:rsid w:val="005430C8"/>
    <w:rsid w:val="00543DBB"/>
    <w:rsid w:val="005453C7"/>
    <w:rsid w:val="005470A8"/>
    <w:rsid w:val="00551C98"/>
    <w:rsid w:val="00553043"/>
    <w:rsid w:val="00555E6C"/>
    <w:rsid w:val="0055620E"/>
    <w:rsid w:val="005563C5"/>
    <w:rsid w:val="00565020"/>
    <w:rsid w:val="0057060E"/>
    <w:rsid w:val="0057308E"/>
    <w:rsid w:val="00573404"/>
    <w:rsid w:val="005740A6"/>
    <w:rsid w:val="00574283"/>
    <w:rsid w:val="005760B8"/>
    <w:rsid w:val="00582E7A"/>
    <w:rsid w:val="005850E3"/>
    <w:rsid w:val="00585472"/>
    <w:rsid w:val="00587AFE"/>
    <w:rsid w:val="005936BC"/>
    <w:rsid w:val="00597526"/>
    <w:rsid w:val="005A0387"/>
    <w:rsid w:val="005A06F4"/>
    <w:rsid w:val="005A3CEB"/>
    <w:rsid w:val="005C288D"/>
    <w:rsid w:val="005C2CD7"/>
    <w:rsid w:val="005C41F0"/>
    <w:rsid w:val="005D2447"/>
    <w:rsid w:val="005D418B"/>
    <w:rsid w:val="005D55E1"/>
    <w:rsid w:val="005E2128"/>
    <w:rsid w:val="005F164D"/>
    <w:rsid w:val="005F1EC3"/>
    <w:rsid w:val="005F6DD4"/>
    <w:rsid w:val="005F73F1"/>
    <w:rsid w:val="006045CA"/>
    <w:rsid w:val="0061503F"/>
    <w:rsid w:val="00616467"/>
    <w:rsid w:val="0062063F"/>
    <w:rsid w:val="00626857"/>
    <w:rsid w:val="006315CC"/>
    <w:rsid w:val="006364D6"/>
    <w:rsid w:val="006457DE"/>
    <w:rsid w:val="006472EF"/>
    <w:rsid w:val="006557E1"/>
    <w:rsid w:val="00656766"/>
    <w:rsid w:val="00661A1E"/>
    <w:rsid w:val="006642B5"/>
    <w:rsid w:val="006650BE"/>
    <w:rsid w:val="00671640"/>
    <w:rsid w:val="006747CF"/>
    <w:rsid w:val="006806AD"/>
    <w:rsid w:val="00680D56"/>
    <w:rsid w:val="00683409"/>
    <w:rsid w:val="00690759"/>
    <w:rsid w:val="00695840"/>
    <w:rsid w:val="00695D61"/>
    <w:rsid w:val="006971AD"/>
    <w:rsid w:val="006A0690"/>
    <w:rsid w:val="006A12F0"/>
    <w:rsid w:val="006A4AC1"/>
    <w:rsid w:val="006B0AA3"/>
    <w:rsid w:val="006C0366"/>
    <w:rsid w:val="006C647C"/>
    <w:rsid w:val="006C69DC"/>
    <w:rsid w:val="006D1958"/>
    <w:rsid w:val="006D3FEE"/>
    <w:rsid w:val="006D4A4B"/>
    <w:rsid w:val="006E2F78"/>
    <w:rsid w:val="006E30C7"/>
    <w:rsid w:val="006E5160"/>
    <w:rsid w:val="006F2A34"/>
    <w:rsid w:val="006F3593"/>
    <w:rsid w:val="006F631A"/>
    <w:rsid w:val="00701642"/>
    <w:rsid w:val="00702817"/>
    <w:rsid w:val="0070445B"/>
    <w:rsid w:val="00713D8C"/>
    <w:rsid w:val="007159DC"/>
    <w:rsid w:val="00723222"/>
    <w:rsid w:val="00724281"/>
    <w:rsid w:val="007274E2"/>
    <w:rsid w:val="007355AD"/>
    <w:rsid w:val="00735788"/>
    <w:rsid w:val="00741B16"/>
    <w:rsid w:val="00743912"/>
    <w:rsid w:val="007446F6"/>
    <w:rsid w:val="00745745"/>
    <w:rsid w:val="00747254"/>
    <w:rsid w:val="00747F3B"/>
    <w:rsid w:val="00751AD4"/>
    <w:rsid w:val="00752F0A"/>
    <w:rsid w:val="00754BCA"/>
    <w:rsid w:val="00755839"/>
    <w:rsid w:val="00757E8B"/>
    <w:rsid w:val="007600FC"/>
    <w:rsid w:val="00766E04"/>
    <w:rsid w:val="00767C8C"/>
    <w:rsid w:val="00771828"/>
    <w:rsid w:val="00774D02"/>
    <w:rsid w:val="0077537D"/>
    <w:rsid w:val="0077650E"/>
    <w:rsid w:val="0078062F"/>
    <w:rsid w:val="00780DCE"/>
    <w:rsid w:val="00781427"/>
    <w:rsid w:val="007817F4"/>
    <w:rsid w:val="007828E2"/>
    <w:rsid w:val="00785D45"/>
    <w:rsid w:val="00785E21"/>
    <w:rsid w:val="007864CE"/>
    <w:rsid w:val="00786B3D"/>
    <w:rsid w:val="00786DD0"/>
    <w:rsid w:val="00790C66"/>
    <w:rsid w:val="00791D7A"/>
    <w:rsid w:val="00792F3B"/>
    <w:rsid w:val="007937DC"/>
    <w:rsid w:val="007A1A40"/>
    <w:rsid w:val="007B2FB0"/>
    <w:rsid w:val="007B7594"/>
    <w:rsid w:val="007C1C76"/>
    <w:rsid w:val="007C1FFF"/>
    <w:rsid w:val="007C2EBC"/>
    <w:rsid w:val="007C3FF8"/>
    <w:rsid w:val="007C4118"/>
    <w:rsid w:val="007C4B56"/>
    <w:rsid w:val="007C52C5"/>
    <w:rsid w:val="007D2683"/>
    <w:rsid w:val="007D3D8C"/>
    <w:rsid w:val="007D6F36"/>
    <w:rsid w:val="007D73B3"/>
    <w:rsid w:val="007E08E8"/>
    <w:rsid w:val="007E0933"/>
    <w:rsid w:val="007E2EF2"/>
    <w:rsid w:val="007E7BDE"/>
    <w:rsid w:val="007F2D01"/>
    <w:rsid w:val="007F62D0"/>
    <w:rsid w:val="007F7217"/>
    <w:rsid w:val="00804DB8"/>
    <w:rsid w:val="008139AE"/>
    <w:rsid w:val="008272A2"/>
    <w:rsid w:val="008309C1"/>
    <w:rsid w:val="00831E92"/>
    <w:rsid w:val="00835EB9"/>
    <w:rsid w:val="0084090F"/>
    <w:rsid w:val="00842641"/>
    <w:rsid w:val="00845630"/>
    <w:rsid w:val="00845A34"/>
    <w:rsid w:val="008462CE"/>
    <w:rsid w:val="008472F8"/>
    <w:rsid w:val="00847A75"/>
    <w:rsid w:val="00850860"/>
    <w:rsid w:val="00854177"/>
    <w:rsid w:val="00857688"/>
    <w:rsid w:val="008606B5"/>
    <w:rsid w:val="008628C9"/>
    <w:rsid w:val="00864F11"/>
    <w:rsid w:val="00865647"/>
    <w:rsid w:val="00866DC5"/>
    <w:rsid w:val="008715E6"/>
    <w:rsid w:val="00874947"/>
    <w:rsid w:val="00881800"/>
    <w:rsid w:val="00883E5D"/>
    <w:rsid w:val="00885209"/>
    <w:rsid w:val="00890871"/>
    <w:rsid w:val="00891D65"/>
    <w:rsid w:val="008930D8"/>
    <w:rsid w:val="0089627D"/>
    <w:rsid w:val="008A0448"/>
    <w:rsid w:val="008A5B5D"/>
    <w:rsid w:val="008A63F1"/>
    <w:rsid w:val="008B045F"/>
    <w:rsid w:val="008B155C"/>
    <w:rsid w:val="008B344B"/>
    <w:rsid w:val="008B3535"/>
    <w:rsid w:val="008B4488"/>
    <w:rsid w:val="008B5B2C"/>
    <w:rsid w:val="008B5D69"/>
    <w:rsid w:val="008C266B"/>
    <w:rsid w:val="008C39A7"/>
    <w:rsid w:val="008C6499"/>
    <w:rsid w:val="008C6DE3"/>
    <w:rsid w:val="008C700D"/>
    <w:rsid w:val="008D2F15"/>
    <w:rsid w:val="008D4574"/>
    <w:rsid w:val="008D5FDD"/>
    <w:rsid w:val="008E0DCC"/>
    <w:rsid w:val="008F638F"/>
    <w:rsid w:val="008F6F63"/>
    <w:rsid w:val="00903ACA"/>
    <w:rsid w:val="00903C70"/>
    <w:rsid w:val="0091301F"/>
    <w:rsid w:val="00916EC8"/>
    <w:rsid w:val="009178A8"/>
    <w:rsid w:val="00917D58"/>
    <w:rsid w:val="00920106"/>
    <w:rsid w:val="00920AC2"/>
    <w:rsid w:val="00920D31"/>
    <w:rsid w:val="00922893"/>
    <w:rsid w:val="00923811"/>
    <w:rsid w:val="00923C86"/>
    <w:rsid w:val="00923F06"/>
    <w:rsid w:val="00925690"/>
    <w:rsid w:val="00926252"/>
    <w:rsid w:val="00930D75"/>
    <w:rsid w:val="00932127"/>
    <w:rsid w:val="00933496"/>
    <w:rsid w:val="009359F1"/>
    <w:rsid w:val="00936E72"/>
    <w:rsid w:val="009377BA"/>
    <w:rsid w:val="00937CC8"/>
    <w:rsid w:val="00943E24"/>
    <w:rsid w:val="009449A7"/>
    <w:rsid w:val="009511F0"/>
    <w:rsid w:val="0095634C"/>
    <w:rsid w:val="00960F3E"/>
    <w:rsid w:val="00962189"/>
    <w:rsid w:val="00962A94"/>
    <w:rsid w:val="00966878"/>
    <w:rsid w:val="009701A4"/>
    <w:rsid w:val="00972B35"/>
    <w:rsid w:val="009746F5"/>
    <w:rsid w:val="009759F0"/>
    <w:rsid w:val="00975D1A"/>
    <w:rsid w:val="0098139D"/>
    <w:rsid w:val="00991CC4"/>
    <w:rsid w:val="00996685"/>
    <w:rsid w:val="009A25A2"/>
    <w:rsid w:val="009A3324"/>
    <w:rsid w:val="009A42F1"/>
    <w:rsid w:val="009A585E"/>
    <w:rsid w:val="009A5910"/>
    <w:rsid w:val="009A5B14"/>
    <w:rsid w:val="009A625D"/>
    <w:rsid w:val="009A6275"/>
    <w:rsid w:val="009A6F36"/>
    <w:rsid w:val="009A764A"/>
    <w:rsid w:val="009B095D"/>
    <w:rsid w:val="009B2C67"/>
    <w:rsid w:val="009B40D2"/>
    <w:rsid w:val="009B555F"/>
    <w:rsid w:val="009C1A33"/>
    <w:rsid w:val="009C266C"/>
    <w:rsid w:val="009C38B5"/>
    <w:rsid w:val="009C5E4D"/>
    <w:rsid w:val="009C73E2"/>
    <w:rsid w:val="009C76EA"/>
    <w:rsid w:val="009D2711"/>
    <w:rsid w:val="009D2BA2"/>
    <w:rsid w:val="009D3A9E"/>
    <w:rsid w:val="009D559E"/>
    <w:rsid w:val="009D5ED2"/>
    <w:rsid w:val="009D6214"/>
    <w:rsid w:val="009D6FBB"/>
    <w:rsid w:val="009D7DE3"/>
    <w:rsid w:val="009E3264"/>
    <w:rsid w:val="009E3962"/>
    <w:rsid w:val="009E44ED"/>
    <w:rsid w:val="009E5949"/>
    <w:rsid w:val="009F688F"/>
    <w:rsid w:val="009F75A6"/>
    <w:rsid w:val="00A135B3"/>
    <w:rsid w:val="00A17814"/>
    <w:rsid w:val="00A23E59"/>
    <w:rsid w:val="00A26F2B"/>
    <w:rsid w:val="00A3093C"/>
    <w:rsid w:val="00A30F9B"/>
    <w:rsid w:val="00A36257"/>
    <w:rsid w:val="00A425BD"/>
    <w:rsid w:val="00A43A61"/>
    <w:rsid w:val="00A461F6"/>
    <w:rsid w:val="00A46E08"/>
    <w:rsid w:val="00A50155"/>
    <w:rsid w:val="00A50A40"/>
    <w:rsid w:val="00A51404"/>
    <w:rsid w:val="00A5311B"/>
    <w:rsid w:val="00A53D31"/>
    <w:rsid w:val="00A564FA"/>
    <w:rsid w:val="00A63301"/>
    <w:rsid w:val="00A67AEF"/>
    <w:rsid w:val="00A70092"/>
    <w:rsid w:val="00A72810"/>
    <w:rsid w:val="00A74735"/>
    <w:rsid w:val="00A74B04"/>
    <w:rsid w:val="00A75274"/>
    <w:rsid w:val="00A754DE"/>
    <w:rsid w:val="00A76381"/>
    <w:rsid w:val="00A770C3"/>
    <w:rsid w:val="00A84292"/>
    <w:rsid w:val="00A843C1"/>
    <w:rsid w:val="00A84FC3"/>
    <w:rsid w:val="00A8664E"/>
    <w:rsid w:val="00A867C7"/>
    <w:rsid w:val="00A9304C"/>
    <w:rsid w:val="00A95943"/>
    <w:rsid w:val="00A9756D"/>
    <w:rsid w:val="00AA0069"/>
    <w:rsid w:val="00AA449F"/>
    <w:rsid w:val="00AA54EB"/>
    <w:rsid w:val="00AA5A17"/>
    <w:rsid w:val="00AA5CD1"/>
    <w:rsid w:val="00AB0CBA"/>
    <w:rsid w:val="00AB2930"/>
    <w:rsid w:val="00AB2E15"/>
    <w:rsid w:val="00AB5258"/>
    <w:rsid w:val="00AB5308"/>
    <w:rsid w:val="00AC05FF"/>
    <w:rsid w:val="00AC150F"/>
    <w:rsid w:val="00AC158C"/>
    <w:rsid w:val="00AC33ED"/>
    <w:rsid w:val="00AC40D7"/>
    <w:rsid w:val="00AC58C4"/>
    <w:rsid w:val="00AD15B2"/>
    <w:rsid w:val="00AD248B"/>
    <w:rsid w:val="00AD78B7"/>
    <w:rsid w:val="00AE57D7"/>
    <w:rsid w:val="00AF41C1"/>
    <w:rsid w:val="00AF570C"/>
    <w:rsid w:val="00AF7653"/>
    <w:rsid w:val="00B000D7"/>
    <w:rsid w:val="00B06910"/>
    <w:rsid w:val="00B10F1F"/>
    <w:rsid w:val="00B12243"/>
    <w:rsid w:val="00B126CA"/>
    <w:rsid w:val="00B1493B"/>
    <w:rsid w:val="00B16C9D"/>
    <w:rsid w:val="00B171C9"/>
    <w:rsid w:val="00B17FB4"/>
    <w:rsid w:val="00B21D77"/>
    <w:rsid w:val="00B25BDE"/>
    <w:rsid w:val="00B33325"/>
    <w:rsid w:val="00B33755"/>
    <w:rsid w:val="00B3545A"/>
    <w:rsid w:val="00B37B06"/>
    <w:rsid w:val="00B42446"/>
    <w:rsid w:val="00B434E6"/>
    <w:rsid w:val="00B47E45"/>
    <w:rsid w:val="00B51AED"/>
    <w:rsid w:val="00B524BB"/>
    <w:rsid w:val="00B52F9D"/>
    <w:rsid w:val="00B53B62"/>
    <w:rsid w:val="00B5505D"/>
    <w:rsid w:val="00B553AD"/>
    <w:rsid w:val="00B576E6"/>
    <w:rsid w:val="00B60915"/>
    <w:rsid w:val="00B6368E"/>
    <w:rsid w:val="00B63B0C"/>
    <w:rsid w:val="00B67D30"/>
    <w:rsid w:val="00B70F2D"/>
    <w:rsid w:val="00B712CC"/>
    <w:rsid w:val="00B71A9D"/>
    <w:rsid w:val="00B72E95"/>
    <w:rsid w:val="00B809CB"/>
    <w:rsid w:val="00B82434"/>
    <w:rsid w:val="00B84C31"/>
    <w:rsid w:val="00B8502D"/>
    <w:rsid w:val="00B91928"/>
    <w:rsid w:val="00B92BD9"/>
    <w:rsid w:val="00B9375C"/>
    <w:rsid w:val="00BA5488"/>
    <w:rsid w:val="00BA601B"/>
    <w:rsid w:val="00BA64A7"/>
    <w:rsid w:val="00BA682C"/>
    <w:rsid w:val="00BB3B56"/>
    <w:rsid w:val="00BB64E6"/>
    <w:rsid w:val="00BC7CCE"/>
    <w:rsid w:val="00BD1AA4"/>
    <w:rsid w:val="00BD1D95"/>
    <w:rsid w:val="00BE03A3"/>
    <w:rsid w:val="00BE0537"/>
    <w:rsid w:val="00BE422E"/>
    <w:rsid w:val="00BE546A"/>
    <w:rsid w:val="00BE6F34"/>
    <w:rsid w:val="00BE73D3"/>
    <w:rsid w:val="00BE78B9"/>
    <w:rsid w:val="00BF0A21"/>
    <w:rsid w:val="00BF2B6A"/>
    <w:rsid w:val="00BF2C9F"/>
    <w:rsid w:val="00BF520D"/>
    <w:rsid w:val="00BF5F33"/>
    <w:rsid w:val="00C0235A"/>
    <w:rsid w:val="00C109C7"/>
    <w:rsid w:val="00C144F8"/>
    <w:rsid w:val="00C156EB"/>
    <w:rsid w:val="00C157F8"/>
    <w:rsid w:val="00C25364"/>
    <w:rsid w:val="00C31A8E"/>
    <w:rsid w:val="00C32750"/>
    <w:rsid w:val="00C33524"/>
    <w:rsid w:val="00C358ED"/>
    <w:rsid w:val="00C35DB9"/>
    <w:rsid w:val="00C40FC9"/>
    <w:rsid w:val="00C449EF"/>
    <w:rsid w:val="00C46F09"/>
    <w:rsid w:val="00C5028C"/>
    <w:rsid w:val="00C614AE"/>
    <w:rsid w:val="00C614F0"/>
    <w:rsid w:val="00C62D84"/>
    <w:rsid w:val="00C63D3E"/>
    <w:rsid w:val="00C64EFF"/>
    <w:rsid w:val="00C66C2E"/>
    <w:rsid w:val="00C70719"/>
    <w:rsid w:val="00C75AF3"/>
    <w:rsid w:val="00C76B60"/>
    <w:rsid w:val="00C81133"/>
    <w:rsid w:val="00C813EE"/>
    <w:rsid w:val="00C84D71"/>
    <w:rsid w:val="00C857F5"/>
    <w:rsid w:val="00C85D26"/>
    <w:rsid w:val="00C85EE8"/>
    <w:rsid w:val="00C869EF"/>
    <w:rsid w:val="00C90E20"/>
    <w:rsid w:val="00CA0E1F"/>
    <w:rsid w:val="00CA1664"/>
    <w:rsid w:val="00CB049F"/>
    <w:rsid w:val="00CB211A"/>
    <w:rsid w:val="00CB5343"/>
    <w:rsid w:val="00CB5A8F"/>
    <w:rsid w:val="00CB5C1D"/>
    <w:rsid w:val="00CB6A5D"/>
    <w:rsid w:val="00CB7FB1"/>
    <w:rsid w:val="00CC44E4"/>
    <w:rsid w:val="00CC4A12"/>
    <w:rsid w:val="00CC6112"/>
    <w:rsid w:val="00CD3C5B"/>
    <w:rsid w:val="00CD458C"/>
    <w:rsid w:val="00CD525E"/>
    <w:rsid w:val="00CE1639"/>
    <w:rsid w:val="00CE1DF2"/>
    <w:rsid w:val="00CE57E1"/>
    <w:rsid w:val="00CE6F75"/>
    <w:rsid w:val="00CE76F3"/>
    <w:rsid w:val="00CF0FEC"/>
    <w:rsid w:val="00CF16E6"/>
    <w:rsid w:val="00CF259F"/>
    <w:rsid w:val="00CF35DF"/>
    <w:rsid w:val="00D00D04"/>
    <w:rsid w:val="00D00E0B"/>
    <w:rsid w:val="00D00F78"/>
    <w:rsid w:val="00D030F6"/>
    <w:rsid w:val="00D04FB3"/>
    <w:rsid w:val="00D068D5"/>
    <w:rsid w:val="00D07BE0"/>
    <w:rsid w:val="00D106C4"/>
    <w:rsid w:val="00D10BD0"/>
    <w:rsid w:val="00D21A28"/>
    <w:rsid w:val="00D22B82"/>
    <w:rsid w:val="00D24011"/>
    <w:rsid w:val="00D27368"/>
    <w:rsid w:val="00D32429"/>
    <w:rsid w:val="00D33612"/>
    <w:rsid w:val="00D35AC3"/>
    <w:rsid w:val="00D3758C"/>
    <w:rsid w:val="00D4157A"/>
    <w:rsid w:val="00D43446"/>
    <w:rsid w:val="00D46D69"/>
    <w:rsid w:val="00D54676"/>
    <w:rsid w:val="00D55C0E"/>
    <w:rsid w:val="00D578B4"/>
    <w:rsid w:val="00D57A5C"/>
    <w:rsid w:val="00D61E9A"/>
    <w:rsid w:val="00D63898"/>
    <w:rsid w:val="00D64123"/>
    <w:rsid w:val="00D65168"/>
    <w:rsid w:val="00D6652B"/>
    <w:rsid w:val="00D725BB"/>
    <w:rsid w:val="00D73EDA"/>
    <w:rsid w:val="00D760B7"/>
    <w:rsid w:val="00D8213A"/>
    <w:rsid w:val="00D82E8C"/>
    <w:rsid w:val="00D85193"/>
    <w:rsid w:val="00D85C67"/>
    <w:rsid w:val="00D87C77"/>
    <w:rsid w:val="00D9077B"/>
    <w:rsid w:val="00D915B5"/>
    <w:rsid w:val="00D93A74"/>
    <w:rsid w:val="00D94A5A"/>
    <w:rsid w:val="00DA3458"/>
    <w:rsid w:val="00DA3937"/>
    <w:rsid w:val="00DA395D"/>
    <w:rsid w:val="00DA4B08"/>
    <w:rsid w:val="00DA7CCD"/>
    <w:rsid w:val="00DB034F"/>
    <w:rsid w:val="00DB1219"/>
    <w:rsid w:val="00DB34F4"/>
    <w:rsid w:val="00DB53FD"/>
    <w:rsid w:val="00DC168D"/>
    <w:rsid w:val="00DC1FFE"/>
    <w:rsid w:val="00DC7BC2"/>
    <w:rsid w:val="00DE1AC2"/>
    <w:rsid w:val="00DE205C"/>
    <w:rsid w:val="00DE2AF0"/>
    <w:rsid w:val="00DE2AF7"/>
    <w:rsid w:val="00DE765D"/>
    <w:rsid w:val="00DE7C2A"/>
    <w:rsid w:val="00DF06BF"/>
    <w:rsid w:val="00DF0CFC"/>
    <w:rsid w:val="00DF1B4F"/>
    <w:rsid w:val="00DF2E53"/>
    <w:rsid w:val="00DF47BD"/>
    <w:rsid w:val="00DF5FC0"/>
    <w:rsid w:val="00DF7D5A"/>
    <w:rsid w:val="00E0018B"/>
    <w:rsid w:val="00E009DF"/>
    <w:rsid w:val="00E03633"/>
    <w:rsid w:val="00E11029"/>
    <w:rsid w:val="00E111D0"/>
    <w:rsid w:val="00E14B72"/>
    <w:rsid w:val="00E15B15"/>
    <w:rsid w:val="00E15BC6"/>
    <w:rsid w:val="00E20ACD"/>
    <w:rsid w:val="00E22562"/>
    <w:rsid w:val="00E2314B"/>
    <w:rsid w:val="00E23A5D"/>
    <w:rsid w:val="00E27E8A"/>
    <w:rsid w:val="00E360D7"/>
    <w:rsid w:val="00E45EE7"/>
    <w:rsid w:val="00E526ED"/>
    <w:rsid w:val="00E52C65"/>
    <w:rsid w:val="00E55F52"/>
    <w:rsid w:val="00E63455"/>
    <w:rsid w:val="00E63691"/>
    <w:rsid w:val="00E7034B"/>
    <w:rsid w:val="00E706A0"/>
    <w:rsid w:val="00E7140D"/>
    <w:rsid w:val="00E74EC6"/>
    <w:rsid w:val="00E80241"/>
    <w:rsid w:val="00E8164C"/>
    <w:rsid w:val="00E81A9C"/>
    <w:rsid w:val="00E842E9"/>
    <w:rsid w:val="00E875D8"/>
    <w:rsid w:val="00E917BB"/>
    <w:rsid w:val="00E935F9"/>
    <w:rsid w:val="00E93C60"/>
    <w:rsid w:val="00E94055"/>
    <w:rsid w:val="00E94B4D"/>
    <w:rsid w:val="00E964EC"/>
    <w:rsid w:val="00EA59B4"/>
    <w:rsid w:val="00EA59E3"/>
    <w:rsid w:val="00EB3519"/>
    <w:rsid w:val="00EB6C5D"/>
    <w:rsid w:val="00EC4B92"/>
    <w:rsid w:val="00EC78B1"/>
    <w:rsid w:val="00ED1E0B"/>
    <w:rsid w:val="00ED3764"/>
    <w:rsid w:val="00ED69DC"/>
    <w:rsid w:val="00ED761F"/>
    <w:rsid w:val="00EE4846"/>
    <w:rsid w:val="00EE4A34"/>
    <w:rsid w:val="00EE5710"/>
    <w:rsid w:val="00EF0E5E"/>
    <w:rsid w:val="00EF1F41"/>
    <w:rsid w:val="00EF241F"/>
    <w:rsid w:val="00EF2699"/>
    <w:rsid w:val="00EF2943"/>
    <w:rsid w:val="00EF3346"/>
    <w:rsid w:val="00F00FA2"/>
    <w:rsid w:val="00F135ED"/>
    <w:rsid w:val="00F15F29"/>
    <w:rsid w:val="00F174E2"/>
    <w:rsid w:val="00F240D0"/>
    <w:rsid w:val="00F241DC"/>
    <w:rsid w:val="00F2515F"/>
    <w:rsid w:val="00F262ED"/>
    <w:rsid w:val="00F32C18"/>
    <w:rsid w:val="00F33E40"/>
    <w:rsid w:val="00F3481B"/>
    <w:rsid w:val="00F373B2"/>
    <w:rsid w:val="00F41576"/>
    <w:rsid w:val="00F42AE2"/>
    <w:rsid w:val="00F520A7"/>
    <w:rsid w:val="00F5469F"/>
    <w:rsid w:val="00F61D4C"/>
    <w:rsid w:val="00F6479D"/>
    <w:rsid w:val="00F66F78"/>
    <w:rsid w:val="00F72842"/>
    <w:rsid w:val="00F7374B"/>
    <w:rsid w:val="00F74919"/>
    <w:rsid w:val="00F816D7"/>
    <w:rsid w:val="00F81EA4"/>
    <w:rsid w:val="00F82209"/>
    <w:rsid w:val="00F82A0C"/>
    <w:rsid w:val="00F87D7C"/>
    <w:rsid w:val="00F9273A"/>
    <w:rsid w:val="00F92F16"/>
    <w:rsid w:val="00F939C4"/>
    <w:rsid w:val="00F94AB5"/>
    <w:rsid w:val="00F9637E"/>
    <w:rsid w:val="00FA1B0C"/>
    <w:rsid w:val="00FA21C2"/>
    <w:rsid w:val="00FA2B58"/>
    <w:rsid w:val="00FA54BE"/>
    <w:rsid w:val="00FA5C08"/>
    <w:rsid w:val="00FA5EFB"/>
    <w:rsid w:val="00FA7604"/>
    <w:rsid w:val="00FB036F"/>
    <w:rsid w:val="00FB0E99"/>
    <w:rsid w:val="00FB3208"/>
    <w:rsid w:val="00FB4B98"/>
    <w:rsid w:val="00FB78F5"/>
    <w:rsid w:val="00FC262D"/>
    <w:rsid w:val="00FC4EDF"/>
    <w:rsid w:val="00FC7732"/>
    <w:rsid w:val="00FD39AA"/>
    <w:rsid w:val="00FD7778"/>
    <w:rsid w:val="00FE18C2"/>
    <w:rsid w:val="00FE23C7"/>
    <w:rsid w:val="00FE3A23"/>
    <w:rsid w:val="00FE4633"/>
    <w:rsid w:val="00FE5E57"/>
    <w:rsid w:val="00FF0153"/>
    <w:rsid w:val="00FF18A0"/>
    <w:rsid w:val="00FF4215"/>
    <w:rsid w:val="00FF4DCD"/>
    <w:rsid w:val="00FF53E4"/>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F5D73"/>
  <w15:chartTrackingRefBased/>
  <w15:docId w15:val="{5708AB28-2C8D-48B4-BAA3-2CB48906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755"/>
    <w:rPr>
      <w:sz w:val="24"/>
      <w:szCs w:val="24"/>
    </w:rPr>
  </w:style>
  <w:style w:type="paragraph" w:styleId="Heading1">
    <w:name w:val="heading 1"/>
    <w:basedOn w:val="Normal"/>
    <w:link w:val="Heading1Char"/>
    <w:uiPriority w:val="9"/>
    <w:qFormat/>
    <w:rsid w:val="00B3375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755"/>
    <w:rPr>
      <w:b/>
      <w:bCs/>
      <w:kern w:val="36"/>
      <w:sz w:val="48"/>
      <w:szCs w:val="48"/>
    </w:rPr>
  </w:style>
  <w:style w:type="character" w:styleId="Strong">
    <w:name w:val="Strong"/>
    <w:basedOn w:val="DefaultParagraphFont"/>
    <w:uiPriority w:val="22"/>
    <w:qFormat/>
    <w:rsid w:val="00B33755"/>
    <w:rPr>
      <w:b/>
      <w:bCs/>
    </w:rPr>
  </w:style>
  <w:style w:type="character" w:styleId="Hyperlink">
    <w:name w:val="Hyperlink"/>
    <w:basedOn w:val="DefaultParagraphFont"/>
    <w:rsid w:val="003C61CC"/>
    <w:rPr>
      <w:color w:val="FFFFFF" w:themeColor="hyperlink"/>
      <w:u w:val="single"/>
    </w:rPr>
  </w:style>
  <w:style w:type="paragraph" w:styleId="ListParagraph">
    <w:name w:val="List Paragraph"/>
    <w:basedOn w:val="Normal"/>
    <w:uiPriority w:val="34"/>
    <w:qFormat/>
    <w:rsid w:val="00683409"/>
    <w:pPr>
      <w:ind w:left="720"/>
      <w:contextualSpacing/>
    </w:pPr>
  </w:style>
  <w:style w:type="paragraph" w:styleId="Header">
    <w:name w:val="header"/>
    <w:basedOn w:val="Normal"/>
    <w:link w:val="HeaderChar"/>
    <w:rsid w:val="00885209"/>
    <w:pPr>
      <w:tabs>
        <w:tab w:val="center" w:pos="4680"/>
        <w:tab w:val="right" w:pos="9360"/>
      </w:tabs>
    </w:pPr>
  </w:style>
  <w:style w:type="character" w:customStyle="1" w:styleId="HeaderChar">
    <w:name w:val="Header Char"/>
    <w:basedOn w:val="DefaultParagraphFont"/>
    <w:link w:val="Header"/>
    <w:rsid w:val="00885209"/>
    <w:rPr>
      <w:sz w:val="24"/>
      <w:szCs w:val="24"/>
    </w:rPr>
  </w:style>
  <w:style w:type="paragraph" w:styleId="Footer">
    <w:name w:val="footer"/>
    <w:basedOn w:val="Normal"/>
    <w:link w:val="FooterChar"/>
    <w:uiPriority w:val="99"/>
    <w:rsid w:val="00885209"/>
    <w:pPr>
      <w:tabs>
        <w:tab w:val="center" w:pos="4680"/>
        <w:tab w:val="right" w:pos="9360"/>
      </w:tabs>
    </w:pPr>
  </w:style>
  <w:style w:type="character" w:customStyle="1" w:styleId="FooterChar">
    <w:name w:val="Footer Char"/>
    <w:basedOn w:val="DefaultParagraphFont"/>
    <w:link w:val="Footer"/>
    <w:uiPriority w:val="99"/>
    <w:rsid w:val="00885209"/>
    <w:rPr>
      <w:sz w:val="24"/>
      <w:szCs w:val="24"/>
    </w:rPr>
  </w:style>
  <w:style w:type="paragraph" w:styleId="BalloonText">
    <w:name w:val="Balloon Text"/>
    <w:basedOn w:val="Normal"/>
    <w:link w:val="BalloonTextChar"/>
    <w:rsid w:val="00EE5710"/>
    <w:rPr>
      <w:rFonts w:ascii="Segoe UI" w:hAnsi="Segoe UI" w:cs="Segoe UI"/>
      <w:sz w:val="18"/>
      <w:szCs w:val="18"/>
    </w:rPr>
  </w:style>
  <w:style w:type="character" w:customStyle="1" w:styleId="BalloonTextChar">
    <w:name w:val="Balloon Text Char"/>
    <w:basedOn w:val="DefaultParagraphFont"/>
    <w:link w:val="BalloonText"/>
    <w:rsid w:val="00EE5710"/>
    <w:rPr>
      <w:rFonts w:ascii="Segoe UI" w:hAnsi="Segoe UI" w:cs="Segoe UI"/>
      <w:sz w:val="18"/>
      <w:szCs w:val="18"/>
    </w:rPr>
  </w:style>
  <w:style w:type="table" w:styleId="TableGrid">
    <w:name w:val="Table Grid"/>
    <w:basedOn w:val="TableNormal"/>
    <w:rsid w:val="0061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973053">
      <w:bodyDiv w:val="1"/>
      <w:marLeft w:val="0"/>
      <w:marRight w:val="0"/>
      <w:marTop w:val="0"/>
      <w:marBottom w:val="0"/>
      <w:divBdr>
        <w:top w:val="none" w:sz="0" w:space="0" w:color="auto"/>
        <w:left w:val="none" w:sz="0" w:space="0" w:color="auto"/>
        <w:bottom w:val="none" w:sz="0" w:space="0" w:color="auto"/>
        <w:right w:val="none" w:sz="0" w:space="0" w:color="auto"/>
      </w:divBdr>
      <w:divsChild>
        <w:div w:id="70975653">
          <w:marLeft w:val="547"/>
          <w:marRight w:val="0"/>
          <w:marTop w:val="0"/>
          <w:marBottom w:val="0"/>
          <w:divBdr>
            <w:top w:val="none" w:sz="0" w:space="0" w:color="auto"/>
            <w:left w:val="none" w:sz="0" w:space="0" w:color="auto"/>
            <w:bottom w:val="none" w:sz="0" w:space="0" w:color="auto"/>
            <w:right w:val="none" w:sz="0" w:space="0" w:color="auto"/>
          </w:divBdr>
        </w:div>
      </w:divsChild>
    </w:div>
    <w:div w:id="1605382262">
      <w:bodyDiv w:val="1"/>
      <w:marLeft w:val="0"/>
      <w:marRight w:val="0"/>
      <w:marTop w:val="0"/>
      <w:marBottom w:val="0"/>
      <w:divBdr>
        <w:top w:val="none" w:sz="0" w:space="0" w:color="auto"/>
        <w:left w:val="none" w:sz="0" w:space="0" w:color="auto"/>
        <w:bottom w:val="none" w:sz="0" w:space="0" w:color="auto"/>
        <w:right w:val="none" w:sz="0" w:space="0" w:color="auto"/>
      </w:divBdr>
      <w:divsChild>
        <w:div w:id="1524201483">
          <w:marLeft w:val="547"/>
          <w:marRight w:val="0"/>
          <w:marTop w:val="0"/>
          <w:marBottom w:val="0"/>
          <w:divBdr>
            <w:top w:val="none" w:sz="0" w:space="0" w:color="auto"/>
            <w:left w:val="none" w:sz="0" w:space="0" w:color="auto"/>
            <w:bottom w:val="none" w:sz="0" w:space="0" w:color="auto"/>
            <w:right w:val="none" w:sz="0" w:space="0" w:color="auto"/>
          </w:divBdr>
        </w:div>
      </w:divsChild>
    </w:div>
    <w:div w:id="1779638988">
      <w:bodyDiv w:val="1"/>
      <w:marLeft w:val="0"/>
      <w:marRight w:val="0"/>
      <w:marTop w:val="0"/>
      <w:marBottom w:val="0"/>
      <w:divBdr>
        <w:top w:val="none" w:sz="0" w:space="0" w:color="auto"/>
        <w:left w:val="none" w:sz="0" w:space="0" w:color="auto"/>
        <w:bottom w:val="none" w:sz="0" w:space="0" w:color="auto"/>
        <w:right w:val="none" w:sz="0" w:space="0" w:color="auto"/>
      </w:divBdr>
      <w:divsChild>
        <w:div w:id="18698282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212745"/>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0927C-FA8D-40C2-8E25-1F915324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5704</Words>
  <Characters>32515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38143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Cristian Mijloianu</dc:creator>
  <cp:keywords/>
  <dc:description/>
  <cp:lastModifiedBy>Gabriel Cristian Mijloianu</cp:lastModifiedBy>
  <cp:revision>12</cp:revision>
  <cp:lastPrinted>2022-09-26T06:28:00Z</cp:lastPrinted>
  <dcterms:created xsi:type="dcterms:W3CDTF">2022-09-06T06:36:00Z</dcterms:created>
  <dcterms:modified xsi:type="dcterms:W3CDTF">2022-09-26T06:31:00Z</dcterms:modified>
</cp:coreProperties>
</file>